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3" w:rsidRPr="00B774D3" w:rsidRDefault="00B774D3" w:rsidP="00B774D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B774D3">
        <w:rPr>
          <w:bCs/>
          <w:sz w:val="40"/>
          <w:szCs w:val="40"/>
          <w:lang w:val="ro-RO"/>
        </w:rPr>
        <w:t>Rezumatul Studiului 11 - Tânjind după mai mult</w:t>
      </w:r>
    </w:p>
    <w:p w:rsidR="00B774D3" w:rsidRPr="00B774D3" w:rsidRDefault="00B774D3" w:rsidP="00B774D3">
      <w:pPr>
        <w:spacing w:after="0" w:line="240" w:lineRule="auto"/>
        <w:jc w:val="both"/>
        <w:rPr>
          <w:bCs/>
          <w:szCs w:val="24"/>
          <w:lang w:val="ro-RO"/>
        </w:rPr>
      </w:pPr>
    </w:p>
    <w:p w:rsidR="00247239" w:rsidRPr="00B774D3" w:rsidRDefault="00247239" w:rsidP="00B774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82483F">
        <w:rPr>
          <w:b/>
          <w:bCs/>
          <w:szCs w:val="24"/>
          <w:u w:val="thick"/>
          <w:lang w:val="ro-RO"/>
        </w:rPr>
        <w:t>Simbolul botezului</w:t>
      </w:r>
      <w:r w:rsidRPr="00B774D3">
        <w:rPr>
          <w:b/>
          <w:bCs/>
          <w:szCs w:val="24"/>
          <w:lang w:val="ro-RO"/>
        </w:rPr>
        <w:t>. 1 Corinteni 10:1-4.</w:t>
      </w:r>
    </w:p>
    <w:p w:rsidR="00247239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>Un simbol reprezintă un exemplu care ne ajută să în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elegem altceva. Relatarea exodului din Israel este plină de simboluri care ne ajută să în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elegem realită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ile spirituale.</w:t>
      </w:r>
    </w:p>
    <w:p w:rsid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>SIMBOLUL</w:t>
      </w:r>
      <w:r w:rsidRPr="00B774D3">
        <w:rPr>
          <w:bCs/>
          <w:szCs w:val="24"/>
          <w:lang w:val="ro-RO"/>
        </w:rPr>
        <w:t xml:space="preserve">: </w:t>
      </w:r>
      <w:r w:rsidR="00EB4BD1" w:rsidRPr="00B774D3">
        <w:rPr>
          <w:bCs/>
          <w:szCs w:val="24"/>
          <w:lang w:val="ro-RO"/>
        </w:rPr>
        <w:t>Trecând Marea Ro</w:t>
      </w:r>
      <w:r w:rsidR="00315D7B">
        <w:rPr>
          <w:bCs/>
          <w:szCs w:val="24"/>
          <w:lang w:val="ro-RO"/>
        </w:rPr>
        <w:t>ş</w:t>
      </w:r>
      <w:r w:rsidR="00EB4BD1" w:rsidRPr="00B774D3">
        <w:rPr>
          <w:bCs/>
          <w:szCs w:val="24"/>
          <w:lang w:val="ro-RO"/>
        </w:rPr>
        <w:t xml:space="preserve">ie, Israel a părăsit sclavia Egiptului </w:t>
      </w:r>
      <w:r w:rsidR="00315D7B">
        <w:rPr>
          <w:bCs/>
          <w:szCs w:val="24"/>
          <w:lang w:val="ro-RO"/>
        </w:rPr>
        <w:t>ş</w:t>
      </w:r>
      <w:r w:rsidR="00EB4BD1" w:rsidRPr="00B774D3">
        <w:rPr>
          <w:bCs/>
          <w:szCs w:val="24"/>
          <w:lang w:val="ro-RO"/>
        </w:rPr>
        <w:t>i a intrat, sub nor, într-o nouă via</w:t>
      </w:r>
      <w:r w:rsidR="00315D7B">
        <w:rPr>
          <w:bCs/>
          <w:szCs w:val="24"/>
          <w:lang w:val="ro-RO"/>
        </w:rPr>
        <w:t>ţ</w:t>
      </w:r>
      <w:r w:rsidR="00EB4BD1" w:rsidRPr="00B774D3">
        <w:rPr>
          <w:bCs/>
          <w:szCs w:val="24"/>
          <w:lang w:val="ro-RO"/>
        </w:rPr>
        <w:t xml:space="preserve">ă de </w:t>
      </w:r>
      <w:r w:rsidR="00B774D3" w:rsidRPr="00B774D3">
        <w:rPr>
          <w:bCs/>
          <w:szCs w:val="24"/>
          <w:lang w:val="ro-RO"/>
        </w:rPr>
        <w:t>libertate</w:t>
      </w:r>
      <w:r w:rsidRPr="00B774D3">
        <w:rPr>
          <w:bCs/>
          <w:szCs w:val="24"/>
          <w:lang w:val="ro-RO"/>
        </w:rPr>
        <w:t xml:space="preserve"> – </w:t>
      </w:r>
      <w:r w:rsidRPr="00B774D3">
        <w:rPr>
          <w:bCs/>
          <w:i/>
          <w:szCs w:val="24"/>
          <w:u w:val="single"/>
          <w:lang w:val="ro-RO"/>
        </w:rPr>
        <w:t>REALITATEA:</w:t>
      </w:r>
      <w:r w:rsidRPr="00B774D3">
        <w:rPr>
          <w:bCs/>
          <w:szCs w:val="24"/>
          <w:lang w:val="ro-RO"/>
        </w:rPr>
        <w:t xml:space="preserve"> La botez, părăsim o via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 xml:space="preserve">ă de sclavie sub păcat 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intrăm într-o via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ă nouă în Hristos (Rom. 6:4,11)</w:t>
      </w:r>
    </w:p>
    <w:p w:rsidR="00EB4BD1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>SIMBOLUL:</w:t>
      </w:r>
      <w:r w:rsidRPr="00B774D3">
        <w:rPr>
          <w:bCs/>
          <w:szCs w:val="24"/>
          <w:lang w:val="ro-RO"/>
        </w:rPr>
        <w:t xml:space="preserve"> </w:t>
      </w:r>
      <w:r w:rsidR="00EB4BD1" w:rsidRPr="00B774D3">
        <w:rPr>
          <w:bCs/>
          <w:szCs w:val="24"/>
          <w:lang w:val="ro-RO"/>
        </w:rPr>
        <w:t>Dumnezeu le-a asigurat mana drept alimenta</w:t>
      </w:r>
      <w:r w:rsidR="00315D7B">
        <w:rPr>
          <w:bCs/>
          <w:szCs w:val="24"/>
          <w:lang w:val="ro-RO"/>
        </w:rPr>
        <w:t>ţ</w:t>
      </w:r>
      <w:r w:rsidR="00EB4BD1" w:rsidRPr="00B774D3">
        <w:rPr>
          <w:bCs/>
          <w:szCs w:val="24"/>
          <w:lang w:val="ro-RO"/>
        </w:rPr>
        <w:t>ie</w:t>
      </w:r>
      <w:r w:rsidRPr="00B774D3">
        <w:rPr>
          <w:bCs/>
          <w:szCs w:val="24"/>
          <w:lang w:val="ro-RO"/>
        </w:rPr>
        <w:t xml:space="preserve"> – </w:t>
      </w:r>
      <w:r w:rsidRPr="00B774D3">
        <w:rPr>
          <w:bCs/>
          <w:i/>
          <w:szCs w:val="24"/>
          <w:u w:val="single"/>
          <w:lang w:val="ro-RO"/>
        </w:rPr>
        <w:t>REALITATEA:</w:t>
      </w:r>
      <w:r w:rsidRPr="00B774D3">
        <w:rPr>
          <w:bCs/>
          <w:szCs w:val="24"/>
          <w:lang w:val="ro-RO"/>
        </w:rPr>
        <w:t xml:space="preserve"> Isus este </w:t>
      </w:r>
      <w:r w:rsidR="0082483F">
        <w:rPr>
          <w:bCs/>
          <w:szCs w:val="24"/>
          <w:lang w:val="ro-RO"/>
        </w:rPr>
        <w:t>„</w:t>
      </w:r>
      <w:r w:rsidRPr="00B774D3">
        <w:rPr>
          <w:bCs/>
          <w:szCs w:val="24"/>
          <w:lang w:val="ro-RO"/>
        </w:rPr>
        <w:t>pâinea vie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ii</w:t>
      </w:r>
      <w:r w:rsidR="0082483F">
        <w:rPr>
          <w:bCs/>
          <w:szCs w:val="24"/>
          <w:lang w:val="ro-RO"/>
        </w:rPr>
        <w:t>”</w:t>
      </w:r>
      <w:r w:rsidRPr="00B774D3">
        <w:rPr>
          <w:bCs/>
          <w:szCs w:val="24"/>
          <w:lang w:val="ro-RO"/>
        </w:rPr>
        <w:t xml:space="preserve"> (Ioan 6:48)</w:t>
      </w:r>
    </w:p>
    <w:p w:rsidR="00247239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>SIMBOLUL:</w:t>
      </w:r>
      <w:r w:rsidRPr="00B774D3">
        <w:rPr>
          <w:bCs/>
          <w:szCs w:val="24"/>
          <w:lang w:val="ro-RO"/>
        </w:rPr>
        <w:t xml:space="preserve"> </w:t>
      </w:r>
      <w:r w:rsidR="00EB4BD1" w:rsidRPr="00B774D3">
        <w:rPr>
          <w:bCs/>
          <w:szCs w:val="24"/>
          <w:lang w:val="ro-RO"/>
        </w:rPr>
        <w:t>Au băut apa care ie</w:t>
      </w:r>
      <w:r w:rsidR="00315D7B">
        <w:rPr>
          <w:bCs/>
          <w:szCs w:val="24"/>
          <w:lang w:val="ro-RO"/>
        </w:rPr>
        <w:t>ş</w:t>
      </w:r>
      <w:r w:rsidR="00EB4BD1" w:rsidRPr="00B774D3">
        <w:rPr>
          <w:bCs/>
          <w:szCs w:val="24"/>
          <w:lang w:val="ro-RO"/>
        </w:rPr>
        <w:t>ea din stâncă</w:t>
      </w:r>
      <w:r w:rsidRPr="00B774D3">
        <w:rPr>
          <w:bCs/>
          <w:szCs w:val="24"/>
          <w:lang w:val="ro-RO"/>
        </w:rPr>
        <w:t xml:space="preserve"> - </w:t>
      </w:r>
      <w:r w:rsidRPr="00B774D3">
        <w:rPr>
          <w:bCs/>
          <w:i/>
          <w:szCs w:val="24"/>
          <w:u w:val="single"/>
          <w:lang w:val="ro-RO"/>
        </w:rPr>
        <w:t xml:space="preserve">REALITATEA: </w:t>
      </w:r>
      <w:r w:rsidR="00EB4BD1" w:rsidRPr="00B774D3">
        <w:rPr>
          <w:bCs/>
          <w:szCs w:val="24"/>
          <w:lang w:val="ro-RO"/>
        </w:rPr>
        <w:t xml:space="preserve">Isus este </w:t>
      </w:r>
      <w:r w:rsidR="0082483F">
        <w:rPr>
          <w:bCs/>
          <w:szCs w:val="24"/>
          <w:lang w:val="ro-RO"/>
        </w:rPr>
        <w:t>„</w:t>
      </w:r>
      <w:r w:rsidR="00EB4BD1" w:rsidRPr="00B774D3">
        <w:rPr>
          <w:bCs/>
          <w:szCs w:val="24"/>
          <w:lang w:val="ro-RO"/>
        </w:rPr>
        <w:t>apa vie</w:t>
      </w:r>
      <w:r w:rsidR="0082483F">
        <w:rPr>
          <w:bCs/>
          <w:szCs w:val="24"/>
          <w:lang w:val="ro-RO"/>
        </w:rPr>
        <w:t>”</w:t>
      </w:r>
      <w:r w:rsidR="00EB4BD1" w:rsidRPr="00B774D3">
        <w:rPr>
          <w:bCs/>
          <w:szCs w:val="24"/>
          <w:lang w:val="ro-RO"/>
        </w:rPr>
        <w:t xml:space="preserve"> (Ioan 4:10)</w:t>
      </w:r>
    </w:p>
    <w:p w:rsidR="00247239" w:rsidRPr="00B774D3" w:rsidRDefault="00247239" w:rsidP="00B774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82483F">
        <w:rPr>
          <w:b/>
          <w:bCs/>
          <w:szCs w:val="24"/>
          <w:u w:val="thick"/>
          <w:lang w:val="ro-RO"/>
        </w:rPr>
        <w:t>Simbolul răscumpărării</w:t>
      </w:r>
      <w:r w:rsidRPr="00B774D3">
        <w:rPr>
          <w:b/>
          <w:bCs/>
          <w:szCs w:val="24"/>
          <w:lang w:val="ro-RO"/>
        </w:rPr>
        <w:t>. Ioan 1:36.</w:t>
      </w:r>
    </w:p>
    <w:p w:rsid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>Având în vedere că sângele este un simbol al vie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ii (Lev. 17:11), ce lec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ii pot fi învă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 xml:space="preserve">ate din jertfele prezentate în </w:t>
      </w:r>
      <w:proofErr w:type="spellStart"/>
      <w:r w:rsidRPr="00B774D3">
        <w:rPr>
          <w:bCs/>
          <w:szCs w:val="24"/>
          <w:lang w:val="ro-RO"/>
        </w:rPr>
        <w:t>Leviticul</w:t>
      </w:r>
      <w:proofErr w:type="spellEnd"/>
      <w:r w:rsidRPr="00B774D3">
        <w:rPr>
          <w:bCs/>
          <w:szCs w:val="24"/>
          <w:lang w:val="ro-RO"/>
        </w:rPr>
        <w:t xml:space="preserve"> 4:32-35 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despre care Ioan spune că sunt simboluri ale lui Isus?</w:t>
      </w:r>
    </w:p>
    <w:p w:rsidR="00EB4BD1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>SIMBOLUL:</w:t>
      </w:r>
      <w:r w:rsidRPr="00B774D3">
        <w:rPr>
          <w:bCs/>
          <w:szCs w:val="24"/>
          <w:lang w:val="ro-RO"/>
        </w:rPr>
        <w:t xml:space="preserve"> </w:t>
      </w:r>
      <w:r w:rsidR="00EB4BD1" w:rsidRPr="00B774D3">
        <w:rPr>
          <w:bCs/>
          <w:szCs w:val="24"/>
          <w:lang w:val="ro-RO"/>
        </w:rPr>
        <w:t>Cel ce aduce jertfa î</w:t>
      </w:r>
      <w:r w:rsidR="00315D7B">
        <w:rPr>
          <w:bCs/>
          <w:szCs w:val="24"/>
          <w:lang w:val="ro-RO"/>
        </w:rPr>
        <w:t>ş</w:t>
      </w:r>
      <w:r w:rsidR="00EB4BD1" w:rsidRPr="00B774D3">
        <w:rPr>
          <w:bCs/>
          <w:szCs w:val="24"/>
          <w:lang w:val="ro-RO"/>
        </w:rPr>
        <w:t>i pune mâinile pe miel</w:t>
      </w:r>
      <w:r w:rsidRPr="00B774D3">
        <w:rPr>
          <w:bCs/>
          <w:szCs w:val="24"/>
          <w:lang w:val="ro-RO"/>
        </w:rPr>
        <w:t xml:space="preserve"> - </w:t>
      </w:r>
      <w:r w:rsidRPr="00B774D3">
        <w:rPr>
          <w:bCs/>
          <w:i/>
          <w:szCs w:val="24"/>
          <w:u w:val="single"/>
          <w:lang w:val="ro-RO"/>
        </w:rPr>
        <w:t xml:space="preserve">REALITATEA: </w:t>
      </w:r>
      <w:r w:rsidRPr="00B774D3">
        <w:rPr>
          <w:bCs/>
          <w:szCs w:val="24"/>
          <w:lang w:val="ro-RO"/>
        </w:rPr>
        <w:t>Mărturisim lui Isus păcatele noastre</w:t>
      </w:r>
    </w:p>
    <w:p w:rsidR="00EB4BD1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>SIMBOLUL:</w:t>
      </w:r>
      <w:r w:rsidRPr="00B774D3">
        <w:rPr>
          <w:bCs/>
          <w:szCs w:val="24"/>
          <w:lang w:val="ro-RO"/>
        </w:rPr>
        <w:t xml:space="preserve"> </w:t>
      </w:r>
      <w:r w:rsidR="00EB4BD1" w:rsidRPr="00B774D3">
        <w:rPr>
          <w:bCs/>
          <w:szCs w:val="24"/>
          <w:lang w:val="ro-RO"/>
        </w:rPr>
        <w:t>Despoaie animalul</w:t>
      </w:r>
      <w:r w:rsidRPr="00B774D3">
        <w:rPr>
          <w:bCs/>
          <w:szCs w:val="24"/>
          <w:lang w:val="ro-RO"/>
        </w:rPr>
        <w:t xml:space="preserve"> - </w:t>
      </w:r>
      <w:r w:rsidRPr="00B774D3">
        <w:rPr>
          <w:bCs/>
          <w:i/>
          <w:szCs w:val="24"/>
          <w:u w:val="single"/>
          <w:lang w:val="ro-RO"/>
        </w:rPr>
        <w:t>REALITATEA:</w:t>
      </w:r>
      <w:r w:rsidRPr="00B774D3">
        <w:rPr>
          <w:bCs/>
          <w:szCs w:val="24"/>
          <w:lang w:val="ro-RO"/>
        </w:rPr>
        <w:t xml:space="preserve"> Recunoa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tem că Isus a murit pentru păcatele noastre</w:t>
      </w:r>
    </w:p>
    <w:p w:rsidR="00EB4BD1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 xml:space="preserve"> SIMBOLUL:</w:t>
      </w:r>
      <w:r w:rsidRPr="00B774D3">
        <w:rPr>
          <w:bCs/>
          <w:szCs w:val="24"/>
          <w:lang w:val="ro-RO"/>
        </w:rPr>
        <w:t xml:space="preserve"> </w:t>
      </w:r>
      <w:r w:rsidR="00EB4BD1" w:rsidRPr="00B774D3">
        <w:rPr>
          <w:bCs/>
          <w:szCs w:val="24"/>
          <w:lang w:val="ro-RO"/>
        </w:rPr>
        <w:t xml:space="preserve">Preotul pune din sânge pe coarnele altarului </w:t>
      </w:r>
      <w:r w:rsidR="00315D7B">
        <w:rPr>
          <w:bCs/>
          <w:szCs w:val="24"/>
          <w:lang w:val="ro-RO"/>
        </w:rPr>
        <w:t>ş</w:t>
      </w:r>
      <w:r w:rsidR="00EB4BD1" w:rsidRPr="00B774D3">
        <w:rPr>
          <w:bCs/>
          <w:szCs w:val="24"/>
          <w:lang w:val="ro-RO"/>
        </w:rPr>
        <w:t>i varsă restul</w:t>
      </w:r>
      <w:r w:rsidRPr="00B774D3">
        <w:rPr>
          <w:bCs/>
          <w:szCs w:val="24"/>
          <w:lang w:val="ro-RO"/>
        </w:rPr>
        <w:t xml:space="preserve"> - </w:t>
      </w:r>
      <w:r w:rsidRPr="00B774D3">
        <w:rPr>
          <w:bCs/>
          <w:i/>
          <w:szCs w:val="24"/>
          <w:u w:val="single"/>
          <w:lang w:val="ro-RO"/>
        </w:rPr>
        <w:t>REALITATEA:</w:t>
      </w:r>
      <w:r w:rsidRPr="00B774D3">
        <w:rPr>
          <w:bCs/>
          <w:szCs w:val="24"/>
          <w:lang w:val="ro-RO"/>
        </w:rPr>
        <w:t xml:space="preserve"> Sângele lui Isus vărsat la cruce are putere să ne răscumpere</w:t>
      </w:r>
    </w:p>
    <w:p w:rsidR="00EB4BD1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>SIMBOLUL:</w:t>
      </w:r>
      <w:r w:rsidRPr="00B774D3">
        <w:rPr>
          <w:bCs/>
          <w:szCs w:val="24"/>
          <w:lang w:val="ro-RO"/>
        </w:rPr>
        <w:t xml:space="preserve"> </w:t>
      </w:r>
      <w:r w:rsidR="00EB4BD1" w:rsidRPr="00B774D3">
        <w:rPr>
          <w:bCs/>
          <w:szCs w:val="24"/>
          <w:lang w:val="ro-RO"/>
        </w:rPr>
        <w:t>Se arde grăsimea pe altar</w:t>
      </w:r>
      <w:r w:rsidRPr="00B774D3">
        <w:rPr>
          <w:bCs/>
          <w:szCs w:val="24"/>
          <w:lang w:val="ro-RO"/>
        </w:rPr>
        <w:t xml:space="preserve"> - </w:t>
      </w:r>
      <w:r w:rsidRPr="00B774D3">
        <w:rPr>
          <w:bCs/>
          <w:i/>
          <w:szCs w:val="24"/>
          <w:u w:val="single"/>
          <w:lang w:val="ro-RO"/>
        </w:rPr>
        <w:t xml:space="preserve">REALITATEA: </w:t>
      </w:r>
      <w:r w:rsidRPr="00B774D3">
        <w:rPr>
          <w:bCs/>
          <w:szCs w:val="24"/>
          <w:lang w:val="ro-RO"/>
        </w:rPr>
        <w:t>Predăm via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a noastră lui Isus</w:t>
      </w:r>
    </w:p>
    <w:p w:rsid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i/>
          <w:szCs w:val="24"/>
          <w:u w:val="single"/>
          <w:lang w:val="ro-RO"/>
        </w:rPr>
        <w:t>SIMBOLUL:</w:t>
      </w:r>
      <w:r w:rsidRPr="00B774D3">
        <w:rPr>
          <w:bCs/>
          <w:szCs w:val="24"/>
          <w:lang w:val="ro-RO"/>
        </w:rPr>
        <w:t xml:space="preserve"> </w:t>
      </w:r>
      <w:r w:rsidR="00EB4BD1" w:rsidRPr="00B774D3">
        <w:rPr>
          <w:bCs/>
          <w:szCs w:val="24"/>
          <w:lang w:val="ro-RO"/>
        </w:rPr>
        <w:t>Preotul face ispă</w:t>
      </w:r>
      <w:r w:rsidR="00315D7B">
        <w:rPr>
          <w:bCs/>
          <w:szCs w:val="24"/>
          <w:lang w:val="ro-RO"/>
        </w:rPr>
        <w:t>ş</w:t>
      </w:r>
      <w:r w:rsidR="00EB4BD1" w:rsidRPr="00B774D3">
        <w:rPr>
          <w:bCs/>
          <w:szCs w:val="24"/>
          <w:lang w:val="ro-RO"/>
        </w:rPr>
        <w:t>irea de păcat</w:t>
      </w:r>
      <w:r w:rsidRPr="00B774D3">
        <w:rPr>
          <w:bCs/>
          <w:szCs w:val="24"/>
          <w:lang w:val="ro-RO"/>
        </w:rPr>
        <w:t xml:space="preserve"> - </w:t>
      </w:r>
      <w:r w:rsidRPr="00B774D3">
        <w:rPr>
          <w:bCs/>
          <w:i/>
          <w:szCs w:val="24"/>
          <w:u w:val="single"/>
          <w:lang w:val="ro-RO"/>
        </w:rPr>
        <w:t xml:space="preserve">REALITATEA: </w:t>
      </w:r>
      <w:r w:rsidR="00EB4BD1" w:rsidRPr="00B774D3">
        <w:rPr>
          <w:bCs/>
          <w:szCs w:val="24"/>
          <w:lang w:val="ro-RO"/>
        </w:rPr>
        <w:t xml:space="preserve">Isus </w:t>
      </w:r>
      <w:r w:rsidR="0082483F" w:rsidRPr="00B774D3">
        <w:rPr>
          <w:bCs/>
          <w:szCs w:val="24"/>
          <w:lang w:val="ro-RO"/>
        </w:rPr>
        <w:t>ispă</w:t>
      </w:r>
      <w:r w:rsidR="00315D7B">
        <w:rPr>
          <w:bCs/>
          <w:szCs w:val="24"/>
          <w:lang w:val="ro-RO"/>
        </w:rPr>
        <w:t>ş</w:t>
      </w:r>
      <w:r w:rsidR="0082483F" w:rsidRPr="00B774D3">
        <w:rPr>
          <w:bCs/>
          <w:szCs w:val="24"/>
          <w:lang w:val="ro-RO"/>
        </w:rPr>
        <w:t>e</w:t>
      </w:r>
      <w:r w:rsidR="00315D7B">
        <w:rPr>
          <w:bCs/>
          <w:szCs w:val="24"/>
          <w:lang w:val="ro-RO"/>
        </w:rPr>
        <w:t>ş</w:t>
      </w:r>
      <w:r w:rsidR="0082483F" w:rsidRPr="00B774D3">
        <w:rPr>
          <w:bCs/>
          <w:szCs w:val="24"/>
          <w:lang w:val="ro-RO"/>
        </w:rPr>
        <w:t>te</w:t>
      </w:r>
      <w:r w:rsidR="00EB4BD1" w:rsidRPr="00B774D3">
        <w:rPr>
          <w:bCs/>
          <w:szCs w:val="24"/>
          <w:lang w:val="ro-RO"/>
        </w:rPr>
        <w:t xml:space="preserve"> păcatul</w:t>
      </w:r>
      <w:r w:rsidRPr="00B774D3">
        <w:rPr>
          <w:bCs/>
          <w:szCs w:val="24"/>
          <w:lang w:val="ro-RO"/>
        </w:rPr>
        <w:t>.</w:t>
      </w:r>
    </w:p>
    <w:p w:rsidR="00247239" w:rsidRPr="00B774D3" w:rsidRDefault="00247239" w:rsidP="00B774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82483F">
        <w:rPr>
          <w:b/>
          <w:bCs/>
          <w:szCs w:val="24"/>
          <w:u w:val="thick"/>
          <w:lang w:val="ro-RO"/>
        </w:rPr>
        <w:t>Simbolul odihnei</w:t>
      </w:r>
      <w:r w:rsidRPr="00B774D3">
        <w:rPr>
          <w:b/>
          <w:bCs/>
          <w:szCs w:val="24"/>
          <w:lang w:val="ro-RO"/>
        </w:rPr>
        <w:t>:</w:t>
      </w:r>
    </w:p>
    <w:p w:rsidR="00247239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774D3">
        <w:rPr>
          <w:b/>
          <w:bCs/>
          <w:szCs w:val="24"/>
          <w:lang w:val="ro-RO"/>
        </w:rPr>
        <w:t>Intrarea în odihnă. Evrei 3:7-4:3p.p.</w:t>
      </w:r>
    </w:p>
    <w:p w:rsidR="00247239" w:rsidRPr="00B774D3" w:rsidRDefault="00247239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>Pentru a ne odihni în Hristos, trebuie să ne încredem pe deplin în făgăduin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 xml:space="preserve">ele Sale, să le credem pe deplin 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să perseverăm în fiecare zi în părtă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ia noastră cu El.</w:t>
      </w:r>
    </w:p>
    <w:p w:rsidR="00B774D3" w:rsidRDefault="00247239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>Unde sunt aceste făgăduin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e? Cum să crezi în ele? În ce mod ar trebui să perseverez? Citind Cuvântul cu credin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ă (Evrei 4:2,12).</w:t>
      </w:r>
    </w:p>
    <w:p w:rsidR="00B774D3" w:rsidRDefault="00247239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 xml:space="preserve">Dumnezeu a promis o odihnă pentru Israel atunci când au intrat în posesia 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ării Canaanului. Totu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 xml:space="preserve">i, numai cei care credeau 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perseverau puteau intra în acea odihnă (Evrei 4:2).</w:t>
      </w:r>
    </w:p>
    <w:p w:rsidR="00247239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774D3">
        <w:rPr>
          <w:b/>
          <w:bCs/>
          <w:szCs w:val="24"/>
          <w:lang w:val="ro-RO"/>
        </w:rPr>
        <w:t>Neintrarea în odihnă. Evrei 4:3u.p.-7.</w:t>
      </w:r>
    </w:p>
    <w:p w:rsidR="00B774D3" w:rsidRDefault="00247239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>Pavel folose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te neascultarea oamenilor (pentru care nu au intrat în Canaan) ca un simbol al respingerii lui Isus de către Israel ca na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iune. De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Dumnezeu hotărâse de la începutul Crea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iei că ai Săi copiii se vor odihni, nu to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 o fac.</w:t>
      </w:r>
    </w:p>
    <w:p w:rsidR="00247239" w:rsidRPr="00B774D3" w:rsidRDefault="00247239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 xml:space="preserve">Odihna făgăduită este </w:t>
      </w:r>
      <w:r w:rsidR="0082483F">
        <w:rPr>
          <w:bCs/>
          <w:szCs w:val="24"/>
          <w:lang w:val="ro-RO"/>
        </w:rPr>
        <w:t>„</w:t>
      </w:r>
      <w:r w:rsidRPr="00B774D3">
        <w:rPr>
          <w:bCs/>
          <w:szCs w:val="24"/>
          <w:lang w:val="ro-RO"/>
        </w:rPr>
        <w:t>odihna</w:t>
      </w:r>
      <w:r w:rsidR="0082483F">
        <w:rPr>
          <w:bCs/>
          <w:szCs w:val="24"/>
          <w:lang w:val="ro-RO"/>
        </w:rPr>
        <w:t>”</w:t>
      </w:r>
      <w:r w:rsidRPr="00B774D3">
        <w:rPr>
          <w:bCs/>
          <w:szCs w:val="24"/>
          <w:lang w:val="ro-RO"/>
        </w:rPr>
        <w:t xml:space="preserve"> sufletului care are loc cu predarea deplină lui Hristos 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cu integrarea vie</w:t>
      </w:r>
      <w:r w:rsidR="00315D7B">
        <w:rPr>
          <w:bCs/>
          <w:szCs w:val="24"/>
          <w:lang w:val="ro-RO"/>
        </w:rPr>
        <w:t>ţ</w:t>
      </w:r>
      <w:r w:rsidRPr="00B774D3">
        <w:rPr>
          <w:bCs/>
          <w:szCs w:val="24"/>
          <w:lang w:val="ro-RO"/>
        </w:rPr>
        <w:t>ii în scopul ve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nic al lui Dumnezeu (</w:t>
      </w:r>
      <w:proofErr w:type="spellStart"/>
      <w:r w:rsidRPr="00B774D3">
        <w:rPr>
          <w:bCs/>
          <w:szCs w:val="24"/>
          <w:lang w:val="ro-RO"/>
        </w:rPr>
        <w:t>Is</w:t>
      </w:r>
      <w:proofErr w:type="spellEnd"/>
      <w:r w:rsidRPr="00B774D3">
        <w:rPr>
          <w:bCs/>
          <w:szCs w:val="24"/>
          <w:lang w:val="ro-RO"/>
        </w:rPr>
        <w:t>. 30:15; Ier. 6:16; M</w:t>
      </w:r>
      <w:r w:rsidR="0082483F">
        <w:rPr>
          <w:bCs/>
          <w:szCs w:val="24"/>
          <w:lang w:val="ro-RO"/>
        </w:rPr>
        <w:t>a</w:t>
      </w:r>
      <w:r w:rsidRPr="00B774D3">
        <w:rPr>
          <w:bCs/>
          <w:szCs w:val="24"/>
          <w:lang w:val="ro-RO"/>
        </w:rPr>
        <w:t>t. 11:29).</w:t>
      </w:r>
    </w:p>
    <w:p w:rsidR="00B774D3" w:rsidRDefault="00247239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>Încă avem timp să intrăm în această odihnă. Dar este important să luăm decizia acum. Există un termen limită pentru a intra: AZI (v. 6-7).</w:t>
      </w:r>
    </w:p>
    <w:p w:rsidR="00247239" w:rsidRPr="00B774D3" w:rsidRDefault="00247239" w:rsidP="00B774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774D3">
        <w:rPr>
          <w:b/>
          <w:bCs/>
          <w:szCs w:val="24"/>
          <w:lang w:val="ro-RO"/>
        </w:rPr>
        <w:t>Odihna viitoare. Evrei 4:8-11.</w:t>
      </w:r>
    </w:p>
    <w:p w:rsidR="007F03F6" w:rsidRPr="00B774D3" w:rsidRDefault="007F03F6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>Cite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 xml:space="preserve">te Evrei 4:8. Nu a fost </w:t>
      </w:r>
      <w:proofErr w:type="spellStart"/>
      <w:r w:rsidRPr="00B774D3">
        <w:rPr>
          <w:bCs/>
          <w:szCs w:val="24"/>
          <w:lang w:val="ro-RO"/>
        </w:rPr>
        <w:t>Iosua</w:t>
      </w:r>
      <w:proofErr w:type="spellEnd"/>
      <w:r w:rsidRPr="00B774D3">
        <w:rPr>
          <w:bCs/>
          <w:szCs w:val="24"/>
          <w:lang w:val="ro-RO"/>
        </w:rPr>
        <w:t xml:space="preserve"> cel care l-a adus pe poporul Israel în odihnă când au intrat în Canaan? Nu era aceasta odihna despre care vorbea Psalmul 95 pe care Pavel îl folose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te aici? Despre ce vorbe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te Pavel?</w:t>
      </w:r>
    </w:p>
    <w:p w:rsidR="00B774D3" w:rsidRDefault="007F03F6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 xml:space="preserve">Există o odihnă viitoare, legată de Canaanul Ceresc 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de Sabat (v. 10-11).</w:t>
      </w:r>
    </w:p>
    <w:p w:rsidR="007F03F6" w:rsidRPr="00B774D3" w:rsidRDefault="007F03F6" w:rsidP="00B774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774D3">
        <w:rPr>
          <w:bCs/>
          <w:szCs w:val="24"/>
          <w:lang w:val="ro-RO"/>
        </w:rPr>
        <w:t xml:space="preserve">Această odihnă reflectă odihna lui Dumnezeu în primul Sabat din istorie. Înseamnă că putem înceta din lucrările noastre </w:t>
      </w:r>
      <w:r w:rsidR="00315D7B">
        <w:rPr>
          <w:bCs/>
          <w:szCs w:val="24"/>
          <w:lang w:val="ro-RO"/>
        </w:rPr>
        <w:t>ş</w:t>
      </w:r>
      <w:r w:rsidRPr="00B774D3">
        <w:rPr>
          <w:bCs/>
          <w:szCs w:val="24"/>
          <w:lang w:val="ro-RO"/>
        </w:rPr>
        <w:t>i putem avea încredere în mântuirea Lui.</w:t>
      </w:r>
    </w:p>
    <w:p w:rsidR="003C6C51" w:rsidRPr="0082483F" w:rsidRDefault="003C6C51" w:rsidP="0082483F">
      <w:pPr>
        <w:spacing w:after="0" w:line="240" w:lineRule="auto"/>
        <w:jc w:val="both"/>
        <w:rPr>
          <w:szCs w:val="24"/>
          <w:lang w:val="ro-RO"/>
        </w:rPr>
      </w:pPr>
    </w:p>
    <w:sectPr w:rsidR="003C6C51" w:rsidRPr="0082483F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9E" w:rsidRDefault="00FC399E" w:rsidP="00315D7B">
      <w:pPr>
        <w:spacing w:after="0" w:line="240" w:lineRule="auto"/>
      </w:pPr>
      <w:r>
        <w:separator/>
      </w:r>
    </w:p>
  </w:endnote>
  <w:endnote w:type="continuationSeparator" w:id="0">
    <w:p w:rsidR="00FC399E" w:rsidRDefault="00FC399E" w:rsidP="0031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7B" w:rsidRPr="00315D7B" w:rsidRDefault="00315D7B">
    <w:pPr>
      <w:pStyle w:val="Subsol"/>
      <w:rPr>
        <w:i/>
        <w:lang w:val="ro-RO"/>
      </w:rPr>
    </w:pPr>
    <w:r w:rsidRPr="00315D7B">
      <w:rPr>
        <w:i/>
        <w:lang w:val="ro-RO"/>
      </w:rPr>
      <w:t xml:space="preserve">Studiu Biblic, </w:t>
    </w:r>
    <w:proofErr w:type="spellStart"/>
    <w:r w:rsidRPr="00315D7B">
      <w:rPr>
        <w:i/>
        <w:lang w:val="ro-RO"/>
      </w:rPr>
      <w:t>Trim</w:t>
    </w:r>
    <w:proofErr w:type="spellEnd"/>
    <w:r w:rsidRPr="00315D7B">
      <w:rPr>
        <w:i/>
        <w:lang w:val="ro-RO"/>
      </w:rPr>
      <w:t>. III,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9E" w:rsidRDefault="00FC399E" w:rsidP="00315D7B">
      <w:pPr>
        <w:spacing w:after="0" w:line="240" w:lineRule="auto"/>
      </w:pPr>
      <w:r>
        <w:separator/>
      </w:r>
    </w:p>
  </w:footnote>
  <w:footnote w:type="continuationSeparator" w:id="0">
    <w:p w:rsidR="00FC399E" w:rsidRDefault="00FC399E" w:rsidP="0031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0DE"/>
    <w:multiLevelType w:val="hybridMultilevel"/>
    <w:tmpl w:val="25580D9C"/>
    <w:lvl w:ilvl="0" w:tplc="705E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EEA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A7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A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9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E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4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0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43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F431B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B350175"/>
    <w:multiLevelType w:val="hybridMultilevel"/>
    <w:tmpl w:val="2452AAA0"/>
    <w:lvl w:ilvl="0" w:tplc="6868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E5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48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C4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6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4A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4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EA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08"/>
    <w:rsid w:val="00125768"/>
    <w:rsid w:val="001E4AA8"/>
    <w:rsid w:val="00247239"/>
    <w:rsid w:val="003036B8"/>
    <w:rsid w:val="00315D7B"/>
    <w:rsid w:val="00395C43"/>
    <w:rsid w:val="003B263B"/>
    <w:rsid w:val="003C6C51"/>
    <w:rsid w:val="0041354A"/>
    <w:rsid w:val="0042693D"/>
    <w:rsid w:val="004D0167"/>
    <w:rsid w:val="004D5CB2"/>
    <w:rsid w:val="00526647"/>
    <w:rsid w:val="00753D87"/>
    <w:rsid w:val="007A7FE3"/>
    <w:rsid w:val="007F03F6"/>
    <w:rsid w:val="0082483F"/>
    <w:rsid w:val="008277EF"/>
    <w:rsid w:val="00B43146"/>
    <w:rsid w:val="00B774D3"/>
    <w:rsid w:val="00BA3EAE"/>
    <w:rsid w:val="00D221DB"/>
    <w:rsid w:val="00DB2BF3"/>
    <w:rsid w:val="00DE6208"/>
    <w:rsid w:val="00EB4BD1"/>
    <w:rsid w:val="00FB2FBA"/>
    <w:rsid w:val="00FC399E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theme="minorBidi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theme="minorBidi"/>
      <w:sz w:val="24"/>
    </w:rPr>
  </w:style>
  <w:style w:type="paragraph" w:styleId="Listparagraf">
    <w:name w:val="List Paragraph"/>
    <w:basedOn w:val="Normal"/>
    <w:uiPriority w:val="34"/>
    <w:qFormat/>
    <w:rsid w:val="00DE620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1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315D7B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1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15D7B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Tanjind dupa mai mult</dc:title>
  <dc:subject>Studiu Biblic, Trim. III, 2021 – Odihna in Hristos</dc:subject>
  <dc:creator>Sergio Fustero Carreras</dc:creator>
  <cp:keywords>https://www.fustero.es/index_ro.php</cp:keywords>
  <cp:lastModifiedBy>Admin</cp:lastModifiedBy>
  <cp:revision>3</cp:revision>
  <dcterms:created xsi:type="dcterms:W3CDTF">2021-09-09T10:57:00Z</dcterms:created>
  <dcterms:modified xsi:type="dcterms:W3CDTF">2021-09-09T10:58:00Z</dcterms:modified>
</cp:coreProperties>
</file>