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CF" w:rsidRPr="004B61CF" w:rsidRDefault="008558CF" w:rsidP="004B61CF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bookmarkStart w:id="2" w:name="_GoBack"/>
      <w:r w:rsidRPr="004B61CF">
        <w:rPr>
          <w:bCs/>
          <w:sz w:val="40"/>
          <w:szCs w:val="40"/>
          <w:lang w:val="ro-RO"/>
        </w:rPr>
        <w:t xml:space="preserve">Rezumatul Studiului </w:t>
      </w:r>
      <w:r>
        <w:rPr>
          <w:bCs/>
          <w:sz w:val="40"/>
          <w:szCs w:val="40"/>
          <w:lang w:val="ro-RO"/>
        </w:rPr>
        <w:t xml:space="preserve">4 </w:t>
      </w:r>
      <w:r w:rsidRPr="004B61CF">
        <w:rPr>
          <w:bCs/>
          <w:sz w:val="40"/>
          <w:szCs w:val="40"/>
          <w:lang w:val="ro-RO"/>
        </w:rPr>
        <w:t>– Un legământ ve</w:t>
      </w:r>
      <w:r>
        <w:rPr>
          <w:bCs/>
          <w:sz w:val="40"/>
          <w:szCs w:val="40"/>
          <w:lang w:val="ro-RO"/>
        </w:rPr>
        <w:t>ş</w:t>
      </w:r>
      <w:r w:rsidRPr="004B61CF">
        <w:rPr>
          <w:bCs/>
          <w:sz w:val="40"/>
          <w:szCs w:val="40"/>
          <w:lang w:val="ro-RO"/>
        </w:rPr>
        <w:t>nic</w:t>
      </w:r>
      <w:bookmarkEnd w:id="0"/>
      <w:bookmarkEnd w:id="1"/>
    </w:p>
    <w:p w:rsidR="008558CF" w:rsidRPr="004B61CF" w:rsidRDefault="008558CF" w:rsidP="004B61CF">
      <w:pPr>
        <w:spacing w:after="0" w:line="240" w:lineRule="auto"/>
        <w:jc w:val="both"/>
        <w:rPr>
          <w:bCs/>
          <w:sz w:val="23"/>
          <w:szCs w:val="23"/>
          <w:lang w:val="ro-RO"/>
        </w:rPr>
      </w:pPr>
    </w:p>
    <w:p w:rsidR="008558CF" w:rsidRPr="004B61CF" w:rsidRDefault="008558CF" w:rsidP="004B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3"/>
          <w:szCs w:val="23"/>
          <w:lang w:val="ro-RO"/>
        </w:rPr>
      </w:pPr>
      <w:r w:rsidRPr="004B61CF">
        <w:rPr>
          <w:b/>
          <w:bCs/>
          <w:sz w:val="23"/>
          <w:szCs w:val="23"/>
          <w:lang w:val="ro-RO"/>
        </w:rPr>
        <w:t>Numele lui Dumnezeu:</w:t>
      </w:r>
    </w:p>
    <w:p w:rsidR="008558CF" w:rsidRPr="004B61CF" w:rsidRDefault="008558CF" w:rsidP="004B61C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bCs/>
          <w:sz w:val="23"/>
          <w:szCs w:val="23"/>
          <w:lang w:val="ro-RO"/>
        </w:rPr>
      </w:pPr>
      <w:r w:rsidRPr="004B61CF">
        <w:rPr>
          <w:b/>
          <w:bCs/>
          <w:sz w:val="23"/>
          <w:szCs w:val="23"/>
          <w:lang w:val="ro-RO"/>
        </w:rPr>
        <w:t>YHWH, Cel Ve</w:t>
      </w:r>
      <w:r>
        <w:rPr>
          <w:b/>
          <w:bCs/>
          <w:sz w:val="23"/>
          <w:szCs w:val="23"/>
          <w:lang w:val="ro-RO"/>
        </w:rPr>
        <w:t>ş</w:t>
      </w:r>
      <w:r w:rsidRPr="004B61CF">
        <w:rPr>
          <w:b/>
          <w:bCs/>
          <w:sz w:val="23"/>
          <w:szCs w:val="23"/>
          <w:lang w:val="ro-RO"/>
        </w:rPr>
        <w:t>nic</w:t>
      </w:r>
    </w:p>
    <w:p w:rsidR="008558CF" w:rsidRPr="004B61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>
        <w:rPr>
          <w:bCs/>
          <w:sz w:val="23"/>
          <w:szCs w:val="23"/>
          <w:lang w:val="ro-RO"/>
        </w:rPr>
        <w:t>„</w:t>
      </w:r>
      <w:r w:rsidRPr="004B61CF">
        <w:rPr>
          <w:bCs/>
          <w:i/>
          <w:iCs/>
          <w:sz w:val="23"/>
          <w:szCs w:val="23"/>
          <w:lang w:val="ro-RO"/>
        </w:rPr>
        <w:t>EU SUNT</w:t>
      </w:r>
      <w:r w:rsidRPr="004B61CF">
        <w:rPr>
          <w:bCs/>
          <w:sz w:val="23"/>
          <w:szCs w:val="23"/>
          <w:lang w:val="ro-RO"/>
        </w:rPr>
        <w:t>” este numele Personal al lui Dumnezeu. În evreie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te este compus din patru litere:</w:t>
      </w:r>
      <w:r>
        <w:rPr>
          <w:bCs/>
          <w:sz w:val="23"/>
          <w:szCs w:val="23"/>
          <w:lang w:val="ro-RO"/>
        </w:rPr>
        <w:t xml:space="preserve"> </w:t>
      </w:r>
      <w:r w:rsidRPr="004B61CF">
        <w:rPr>
          <w:bCs/>
          <w:i/>
          <w:iCs/>
          <w:sz w:val="23"/>
          <w:szCs w:val="23"/>
          <w:lang w:val="ro-RO"/>
        </w:rPr>
        <w:t xml:space="preserve">YHWH </w:t>
      </w:r>
      <w:r w:rsidRPr="004B61CF">
        <w:rPr>
          <w:bCs/>
          <w:sz w:val="23"/>
          <w:szCs w:val="23"/>
          <w:lang w:val="ro-RO"/>
        </w:rPr>
        <w:t xml:space="preserve">care se citesc </w:t>
      </w:r>
      <w:r>
        <w:rPr>
          <w:bCs/>
          <w:sz w:val="23"/>
          <w:szCs w:val="23"/>
          <w:lang w:val="ro-RO"/>
        </w:rPr>
        <w:t>„</w:t>
      </w:r>
      <w:r w:rsidRPr="004B61CF">
        <w:rPr>
          <w:bCs/>
          <w:i/>
          <w:iCs/>
          <w:sz w:val="23"/>
          <w:szCs w:val="23"/>
          <w:lang w:val="ro-RO"/>
        </w:rPr>
        <w:t>Jehová</w:t>
      </w:r>
      <w:r w:rsidRPr="004B61CF">
        <w:rPr>
          <w:bCs/>
          <w:sz w:val="23"/>
          <w:szCs w:val="23"/>
          <w:lang w:val="ro-RO"/>
        </w:rPr>
        <w:t xml:space="preserve">” sau </w:t>
      </w:r>
      <w:r>
        <w:rPr>
          <w:bCs/>
          <w:sz w:val="23"/>
          <w:szCs w:val="23"/>
          <w:lang w:val="ro-RO"/>
        </w:rPr>
        <w:t>„</w:t>
      </w:r>
      <w:r w:rsidRPr="004B61CF">
        <w:rPr>
          <w:bCs/>
          <w:i/>
          <w:iCs/>
          <w:sz w:val="23"/>
          <w:szCs w:val="23"/>
          <w:lang w:val="ro-RO"/>
        </w:rPr>
        <w:t>Yahvéh</w:t>
      </w:r>
      <w:r w:rsidRPr="004B61CF">
        <w:rPr>
          <w:bCs/>
          <w:sz w:val="23"/>
          <w:szCs w:val="23"/>
          <w:lang w:val="ro-RO"/>
        </w:rPr>
        <w:t>”, cu toate că nu se cunoa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te pronun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ia exactă.</w:t>
      </w:r>
    </w:p>
    <w:p w:rsidR="008558CF" w:rsidRPr="004B61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 xml:space="preserve">Apostolul Ioan îl traduce drept </w:t>
      </w:r>
      <w:r>
        <w:rPr>
          <w:bCs/>
          <w:sz w:val="23"/>
          <w:szCs w:val="23"/>
          <w:lang w:val="ro-RO"/>
        </w:rPr>
        <w:t>„</w:t>
      </w:r>
      <w:r w:rsidRPr="004B61CF">
        <w:rPr>
          <w:bCs/>
          <w:sz w:val="23"/>
          <w:szCs w:val="23"/>
          <w:lang w:val="ro-RO"/>
        </w:rPr>
        <w:t xml:space="preserve">Cel Care este, Care era 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Care vine” (Ap. 1:4),</w:t>
      </w:r>
      <w:r>
        <w:rPr>
          <w:bCs/>
          <w:sz w:val="23"/>
          <w:szCs w:val="23"/>
          <w:lang w:val="ro-RO"/>
        </w:rPr>
        <w:t xml:space="preserve"> </w:t>
      </w:r>
      <w:r w:rsidRPr="004B61CF">
        <w:rPr>
          <w:bCs/>
          <w:sz w:val="23"/>
          <w:szCs w:val="23"/>
          <w:lang w:val="ro-RO"/>
        </w:rPr>
        <w:t xml:space="preserve">cu alte cuvinte, </w:t>
      </w:r>
      <w:r w:rsidRPr="004B61CF">
        <w:rPr>
          <w:bCs/>
          <w:i/>
          <w:iCs/>
          <w:sz w:val="23"/>
          <w:szCs w:val="23"/>
          <w:lang w:val="ro-RO"/>
        </w:rPr>
        <w:t>CEL VE</w:t>
      </w:r>
      <w:r>
        <w:rPr>
          <w:bCs/>
          <w:i/>
          <w:iCs/>
          <w:sz w:val="23"/>
          <w:szCs w:val="23"/>
          <w:lang w:val="ro-RO"/>
        </w:rPr>
        <w:t>Ş</w:t>
      </w:r>
      <w:r w:rsidRPr="004B61CF">
        <w:rPr>
          <w:bCs/>
          <w:i/>
          <w:iCs/>
          <w:sz w:val="23"/>
          <w:szCs w:val="23"/>
          <w:lang w:val="ro-RO"/>
        </w:rPr>
        <w:t xml:space="preserve">NIC. </w:t>
      </w:r>
      <w:r w:rsidRPr="004B61CF">
        <w:rPr>
          <w:bCs/>
          <w:sz w:val="23"/>
          <w:szCs w:val="23"/>
          <w:lang w:val="ro-RO"/>
        </w:rPr>
        <w:t>Numele lui Dumnezeu reflectă autoexisten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 xml:space="preserve">a Sa, eternitatea Sa 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stăpânirea Sa de-a lungul istoriei.</w:t>
      </w:r>
    </w:p>
    <w:p w:rsidR="008558CF" w:rsidRPr="004B61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Moise folose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te acest nume pentru a povesti prima ocazie în care Dumnezeu poartă o conversa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ie cu Avram (Geneza 15: 7).</w:t>
      </w:r>
    </w:p>
    <w:p w:rsidR="008558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Suntem invita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i să cunoa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 xml:space="preserve">tem numele lui Dumnezeu 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semnifica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ia Sa pentru a ne încrede mai mult în El (Ps. 9:10; 91:14).</w:t>
      </w:r>
    </w:p>
    <w:p w:rsidR="008558CF" w:rsidRPr="004B61CF" w:rsidRDefault="008558CF" w:rsidP="004B61C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bCs/>
          <w:sz w:val="23"/>
          <w:szCs w:val="23"/>
          <w:lang w:val="ro-RO"/>
        </w:rPr>
      </w:pPr>
      <w:r w:rsidRPr="004B61CF">
        <w:rPr>
          <w:b/>
          <w:bCs/>
          <w:sz w:val="23"/>
          <w:szCs w:val="23"/>
          <w:lang w:val="ro-RO"/>
        </w:rPr>
        <w:t>„El Shaddai”, Dumnezeul Atotputernic</w:t>
      </w:r>
    </w:p>
    <w:p w:rsidR="008558CF" w:rsidRPr="004B61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 xml:space="preserve">Ratificând legământul său, Dumnezeu s-a prezentat lui Avram ca Dumnezeu Atotputernic [‘El Shaddai] (Gen. 17:1). Datorită slăbiciunii 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fragilită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ii umane, Abram nu a putut avea descenden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i. Cu toate acestea, Atotputernicul avea o putere mai mult decât suficientă pentru a realiza acest lucru (Gen.</w:t>
      </w:r>
      <w:r>
        <w:rPr>
          <w:bCs/>
          <w:sz w:val="23"/>
          <w:szCs w:val="23"/>
          <w:lang w:val="ro-RO"/>
        </w:rPr>
        <w:t xml:space="preserve"> 17:</w:t>
      </w:r>
      <w:r w:rsidRPr="004B61CF">
        <w:rPr>
          <w:bCs/>
          <w:sz w:val="23"/>
          <w:szCs w:val="23"/>
          <w:lang w:val="ro-RO"/>
        </w:rPr>
        <w:t>6).</w:t>
      </w:r>
    </w:p>
    <w:p w:rsidR="008558CF" w:rsidRPr="004B61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Isaac l-a binecuvântat pe Iacov în n</w:t>
      </w:r>
      <w:r>
        <w:rPr>
          <w:bCs/>
          <w:sz w:val="23"/>
          <w:szCs w:val="23"/>
          <w:lang w:val="ro-RO"/>
        </w:rPr>
        <w:t>umele lui „El Shaddai (Gen. 28:</w:t>
      </w:r>
      <w:r w:rsidRPr="004B61CF">
        <w:rPr>
          <w:bCs/>
          <w:sz w:val="23"/>
          <w:szCs w:val="23"/>
          <w:lang w:val="ro-RO"/>
        </w:rPr>
        <w:t>3), iar Dumnezeu Însu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i s-a arătat lui Iacov sub acest nume (Gen. 35:11). Iacov a folosit în mod repetat numele „El Shaddai pentru a da binecuvânt</w:t>
      </w:r>
      <w:r>
        <w:rPr>
          <w:bCs/>
          <w:sz w:val="23"/>
          <w:szCs w:val="23"/>
          <w:lang w:val="ro-RO"/>
        </w:rPr>
        <w:t>are (Gen. 43:14; 48:</w:t>
      </w:r>
      <w:r w:rsidRPr="004B61CF">
        <w:rPr>
          <w:bCs/>
          <w:sz w:val="23"/>
          <w:szCs w:val="23"/>
          <w:lang w:val="ro-RO"/>
        </w:rPr>
        <w:t>3; 49:25).</w:t>
      </w:r>
    </w:p>
    <w:p w:rsidR="008558CF" w:rsidRPr="004B61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/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Dumnezeu nu este numai Atotputernic, ci El posedă bogă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ii inepuizabile, bogă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ii pe care El este dispus să le acorde celor care le caută cu credin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 xml:space="preserve">ă 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ascultare (Fil. 4:19).</w:t>
      </w:r>
    </w:p>
    <w:p w:rsidR="008558CF" w:rsidRDefault="008558CF" w:rsidP="004B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3"/>
          <w:szCs w:val="23"/>
          <w:lang w:val="ro-RO"/>
        </w:rPr>
      </w:pPr>
      <w:r w:rsidRPr="004B61CF">
        <w:rPr>
          <w:b/>
          <w:bCs/>
          <w:sz w:val="23"/>
          <w:szCs w:val="23"/>
          <w:lang w:val="ro-RO"/>
        </w:rPr>
        <w:t xml:space="preserve">Numele omului: </w:t>
      </w:r>
    </w:p>
    <w:p w:rsidR="008558CF" w:rsidRPr="004B61CF" w:rsidRDefault="008558CF" w:rsidP="004B61C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bCs/>
          <w:sz w:val="23"/>
          <w:szCs w:val="23"/>
          <w:lang w:val="ro-RO"/>
        </w:rPr>
      </w:pPr>
      <w:r w:rsidRPr="004B61CF">
        <w:rPr>
          <w:b/>
          <w:bCs/>
          <w:sz w:val="23"/>
          <w:szCs w:val="23"/>
          <w:lang w:val="ro-RO"/>
        </w:rPr>
        <w:t>Avram/Avraam</w:t>
      </w:r>
    </w:p>
    <w:p w:rsidR="008558CF" w:rsidRPr="004B61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A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a cum numele lui Dumnezeu reflectă caracterul Său, tot a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 xml:space="preserve">a 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numele oamenilor din Orientul antic reflectau caracterul acestora.</w:t>
      </w:r>
    </w:p>
    <w:p w:rsidR="008558CF" w:rsidRPr="004B61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Când s-a întâmplat ceva semnificativ în via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a oamenilor, ace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tia î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 xml:space="preserve">i puteau schimba numele: </w:t>
      </w:r>
      <w:r w:rsidRPr="004B61CF">
        <w:rPr>
          <w:sz w:val="23"/>
          <w:szCs w:val="23"/>
          <w:lang w:val="ro-RO"/>
        </w:rPr>
        <w:t>Geneza 32:28; Geneza 41:45; Rut 1:20; Daniel 1:7.</w:t>
      </w:r>
    </w:p>
    <w:p w:rsidR="008558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Când Dumnezeu a schimbat numele lui Avram în Avraam, el sporea împlinirea promisiunilor legământului. Din acel moment, va fi cunoscut ca „Tatăl unei mul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imi”.</w:t>
      </w:r>
    </w:p>
    <w:p w:rsidR="008558CF" w:rsidRPr="004B61CF" w:rsidRDefault="008558CF" w:rsidP="004B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3"/>
          <w:szCs w:val="23"/>
          <w:lang w:val="ro-RO"/>
        </w:rPr>
      </w:pPr>
      <w:r w:rsidRPr="004B61CF">
        <w:rPr>
          <w:b/>
          <w:bCs/>
          <w:sz w:val="23"/>
          <w:szCs w:val="23"/>
          <w:lang w:val="ro-RO"/>
        </w:rPr>
        <w:t>Legământul:</w:t>
      </w:r>
    </w:p>
    <w:p w:rsidR="008558CF" w:rsidRDefault="008558CF" w:rsidP="004B61C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bCs/>
          <w:sz w:val="23"/>
          <w:szCs w:val="23"/>
          <w:lang w:val="ro-RO"/>
        </w:rPr>
      </w:pPr>
      <w:r w:rsidRPr="004B61CF">
        <w:rPr>
          <w:b/>
          <w:bCs/>
          <w:sz w:val="23"/>
          <w:szCs w:val="23"/>
          <w:lang w:val="ro-RO"/>
        </w:rPr>
        <w:t xml:space="preserve">Etape </w:t>
      </w:r>
    </w:p>
    <w:p w:rsidR="008558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Legământul lui Dumnezeu cu Avraam a fost realizat în trei etape, cu trei păr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i fiecare:</w:t>
      </w:r>
    </w:p>
    <w:p w:rsidR="008558CF" w:rsidRPr="004B61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 xml:space="preserve">Geneza 12:1-3. ABORDAREA: </w:t>
      </w:r>
      <w:r>
        <w:rPr>
          <w:bCs/>
          <w:sz w:val="23"/>
          <w:szCs w:val="23"/>
          <w:lang w:val="ro-RO"/>
        </w:rPr>
        <w:t>„</w:t>
      </w:r>
      <w:r w:rsidRPr="004B61CF">
        <w:rPr>
          <w:bCs/>
          <w:sz w:val="23"/>
          <w:szCs w:val="23"/>
          <w:lang w:val="ro-RO"/>
        </w:rPr>
        <w:t xml:space="preserve">Domnul îi zisese lui Avraam”; PORUNCA: </w:t>
      </w:r>
      <w:r>
        <w:rPr>
          <w:bCs/>
          <w:sz w:val="23"/>
          <w:szCs w:val="23"/>
          <w:lang w:val="ro-RO"/>
        </w:rPr>
        <w:t>„</w:t>
      </w:r>
      <w:r w:rsidRPr="004B61CF">
        <w:rPr>
          <w:bCs/>
          <w:sz w:val="23"/>
          <w:szCs w:val="23"/>
          <w:lang w:val="ro-RO"/>
        </w:rPr>
        <w:t>Ie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 xml:space="preserve">i din 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ara ta”; FĂGĂDUIN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A :„te voi binecuvânta”.</w:t>
      </w:r>
    </w:p>
    <w:p w:rsidR="008558CF" w:rsidRPr="004B61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 xml:space="preserve">Geneza 15:1-21. ABORDAREA: </w:t>
      </w:r>
      <w:r>
        <w:rPr>
          <w:bCs/>
          <w:sz w:val="23"/>
          <w:szCs w:val="23"/>
          <w:lang w:val="ro-RO"/>
        </w:rPr>
        <w:t>„</w:t>
      </w:r>
      <w:r w:rsidRPr="004B61CF">
        <w:rPr>
          <w:bCs/>
          <w:sz w:val="23"/>
          <w:szCs w:val="23"/>
          <w:lang w:val="ro-RO"/>
        </w:rPr>
        <w:t xml:space="preserve">Eu sunt Domul”; PORUNCA: </w:t>
      </w:r>
      <w:r>
        <w:rPr>
          <w:bCs/>
          <w:sz w:val="23"/>
          <w:szCs w:val="23"/>
          <w:lang w:val="ro-RO"/>
        </w:rPr>
        <w:t>„</w:t>
      </w:r>
      <w:r w:rsidRPr="004B61CF">
        <w:rPr>
          <w:bCs/>
          <w:sz w:val="23"/>
          <w:szCs w:val="23"/>
          <w:lang w:val="ro-RO"/>
        </w:rPr>
        <w:t>ia un berbec”; FĂGĂDUIN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A: „Semin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 xml:space="preserve">iei tale dau 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ara aceasta”.</w:t>
      </w:r>
    </w:p>
    <w:p w:rsidR="008558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 xml:space="preserve">Geneza 17:1-14. ABORDAREA: </w:t>
      </w:r>
      <w:r>
        <w:rPr>
          <w:bCs/>
          <w:sz w:val="23"/>
          <w:szCs w:val="23"/>
          <w:lang w:val="ro-RO"/>
        </w:rPr>
        <w:t>„</w:t>
      </w:r>
      <w:r w:rsidRPr="004B61CF">
        <w:rPr>
          <w:bCs/>
          <w:sz w:val="23"/>
          <w:szCs w:val="23"/>
          <w:lang w:val="ro-RO"/>
        </w:rPr>
        <w:t xml:space="preserve">Eu sunt Dumnezeul cel Atotputernic”; PORUNCA: </w:t>
      </w:r>
      <w:r>
        <w:rPr>
          <w:bCs/>
          <w:sz w:val="23"/>
          <w:szCs w:val="23"/>
          <w:lang w:val="ro-RO"/>
        </w:rPr>
        <w:t>„</w:t>
      </w:r>
      <w:r w:rsidRPr="004B61CF">
        <w:rPr>
          <w:bCs/>
          <w:sz w:val="23"/>
          <w:szCs w:val="23"/>
          <w:lang w:val="ro-RO"/>
        </w:rPr>
        <w:t>tot ce este de parte bărbătească să fie tăiat împrejur”; FĂGĂDUIN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A: „î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 xml:space="preserve">i voi da 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ara în care locuie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ti”.</w:t>
      </w:r>
    </w:p>
    <w:p w:rsidR="008558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De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 xml:space="preserve">i legământul a fost încheiat cu Avraam 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descenden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ii săi, acesta a implicat întreaga omenire (Gen. 12:</w:t>
      </w:r>
      <w:r>
        <w:rPr>
          <w:bCs/>
          <w:sz w:val="23"/>
          <w:szCs w:val="23"/>
          <w:lang w:val="ro-RO"/>
        </w:rPr>
        <w:t>3; 22:18; Fată. 3:16,</w:t>
      </w:r>
      <w:r w:rsidRPr="004B61CF">
        <w:rPr>
          <w:bCs/>
          <w:sz w:val="23"/>
          <w:szCs w:val="23"/>
          <w:lang w:val="ro-RO"/>
        </w:rPr>
        <w:t>29).</w:t>
      </w:r>
    </w:p>
    <w:p w:rsidR="008558CF" w:rsidRPr="004B61CF" w:rsidRDefault="008558CF" w:rsidP="004B61C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bCs/>
          <w:sz w:val="23"/>
          <w:szCs w:val="23"/>
          <w:lang w:val="ro-RO"/>
        </w:rPr>
      </w:pPr>
      <w:r w:rsidRPr="004B61CF">
        <w:rPr>
          <w:b/>
          <w:bCs/>
          <w:sz w:val="23"/>
          <w:szCs w:val="23"/>
          <w:lang w:val="ro-RO"/>
        </w:rPr>
        <w:t>Obliga</w:t>
      </w:r>
      <w:r>
        <w:rPr>
          <w:b/>
          <w:bCs/>
          <w:sz w:val="23"/>
          <w:szCs w:val="23"/>
          <w:lang w:val="ro-RO"/>
        </w:rPr>
        <w:t>ţ</w:t>
      </w:r>
      <w:r w:rsidRPr="004B61CF">
        <w:rPr>
          <w:b/>
          <w:bCs/>
          <w:sz w:val="23"/>
          <w:szCs w:val="23"/>
          <w:lang w:val="ro-RO"/>
        </w:rPr>
        <w:t>ii</w:t>
      </w:r>
    </w:p>
    <w:p w:rsidR="008558CF" w:rsidRPr="004B61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De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legământul este un legământ al harului, în care Dumnezeu ia ini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 xml:space="preserve">iativa 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se oferă să facă pentru om ceea ce acesta este incapabil să facă, nu este un legământ unilateral.</w:t>
      </w:r>
    </w:p>
    <w:p w:rsidR="008558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Oricine încheie un legământ cu Dumnezeu trebuie să facă partea sa pentru a-I permite lui Dumnezeu să-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</w:t>
      </w:r>
      <w:r>
        <w:rPr>
          <w:bCs/>
          <w:sz w:val="23"/>
          <w:szCs w:val="23"/>
          <w:lang w:val="ro-RO"/>
        </w:rPr>
        <w:t xml:space="preserve"> </w:t>
      </w:r>
      <w:r w:rsidRPr="004B61CF">
        <w:rPr>
          <w:bCs/>
          <w:sz w:val="23"/>
          <w:szCs w:val="23"/>
          <w:lang w:val="ro-RO"/>
        </w:rPr>
        <w:t>împlinească partea. Prin neascultarea lui Dumnezeu, legământul este încălcat.</w:t>
      </w:r>
    </w:p>
    <w:p w:rsidR="008558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Dar să nu ne în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elăm. Dumnezeu nu ne mântuie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te pentru că ascultăm. El ne mântuie</w:t>
      </w:r>
      <w:r>
        <w:rPr>
          <w:bCs/>
          <w:sz w:val="23"/>
          <w:szCs w:val="23"/>
          <w:lang w:val="ro-RO"/>
        </w:rPr>
        <w:t>şte prin har (Efeseni 2:</w:t>
      </w:r>
      <w:r w:rsidRPr="004B61CF">
        <w:rPr>
          <w:bCs/>
          <w:sz w:val="23"/>
          <w:szCs w:val="23"/>
          <w:lang w:val="ro-RO"/>
        </w:rPr>
        <w:t>8). Dar a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 xml:space="preserve">teaptă un răspuns de dragoste 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credin</w:t>
      </w:r>
      <w:r>
        <w:rPr>
          <w:bCs/>
          <w:sz w:val="23"/>
          <w:szCs w:val="23"/>
          <w:lang w:val="ro-RO"/>
        </w:rPr>
        <w:t>ţ</w:t>
      </w:r>
      <w:r w:rsidRPr="004B61CF">
        <w:rPr>
          <w:bCs/>
          <w:sz w:val="23"/>
          <w:szCs w:val="23"/>
          <w:lang w:val="ro-RO"/>
        </w:rPr>
        <w:t>ă, care se reflectă în ascultarea de Legea Sa (Iacov 2:17).</w:t>
      </w:r>
    </w:p>
    <w:p w:rsidR="008558CF" w:rsidRDefault="008558CF" w:rsidP="004B61C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3"/>
          <w:szCs w:val="23"/>
          <w:lang w:val="ro-RO"/>
        </w:rPr>
      </w:pPr>
      <w:r w:rsidRPr="004B61CF">
        <w:rPr>
          <w:bCs/>
          <w:sz w:val="23"/>
          <w:szCs w:val="23"/>
          <w:lang w:val="ro-RO"/>
        </w:rPr>
        <w:t>Ascultarea este mijlocul prin care Dumnezeu î</w:t>
      </w:r>
      <w:r>
        <w:rPr>
          <w:bCs/>
          <w:sz w:val="23"/>
          <w:szCs w:val="23"/>
          <w:lang w:val="ro-RO"/>
        </w:rPr>
        <w:t>ş</w:t>
      </w:r>
      <w:r w:rsidRPr="004B61CF">
        <w:rPr>
          <w:bCs/>
          <w:sz w:val="23"/>
          <w:szCs w:val="23"/>
          <w:lang w:val="ro-RO"/>
        </w:rPr>
        <w:t>i poate îndeplini promisiunile legământului cu noi.</w:t>
      </w:r>
    </w:p>
    <w:bookmarkEnd w:id="2"/>
    <w:p w:rsidR="008558CF" w:rsidRPr="004B61CF" w:rsidRDefault="008558CF" w:rsidP="004B61CF">
      <w:pPr>
        <w:spacing w:after="0" w:line="240" w:lineRule="auto"/>
        <w:jc w:val="both"/>
        <w:rPr>
          <w:sz w:val="23"/>
          <w:szCs w:val="23"/>
          <w:lang w:val="ro-RO"/>
        </w:rPr>
      </w:pPr>
    </w:p>
    <w:sectPr w:rsidR="008558CF" w:rsidRPr="004B61CF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CF" w:rsidRDefault="008558CF" w:rsidP="00F410A6">
      <w:pPr>
        <w:spacing w:after="0" w:line="240" w:lineRule="auto"/>
      </w:pPr>
      <w:r>
        <w:separator/>
      </w:r>
    </w:p>
  </w:endnote>
  <w:endnote w:type="continuationSeparator" w:id="0">
    <w:p w:rsidR="008558CF" w:rsidRDefault="008558CF" w:rsidP="00F4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CF" w:rsidRPr="00F410A6" w:rsidRDefault="008558CF">
    <w:pPr>
      <w:pStyle w:val="Footer"/>
      <w:rPr>
        <w:i/>
        <w:lang w:val="ro-RO"/>
      </w:rPr>
    </w:pPr>
    <w:r w:rsidRPr="00F410A6">
      <w:rPr>
        <w:i/>
        <w:lang w:val="ro-RO"/>
      </w:rPr>
      <w:t>Studiu Biblic, Trim. II, 2021 – Făgăduinţa: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CF" w:rsidRDefault="008558CF" w:rsidP="00F410A6">
      <w:pPr>
        <w:spacing w:after="0" w:line="240" w:lineRule="auto"/>
      </w:pPr>
      <w:r>
        <w:separator/>
      </w:r>
    </w:p>
  </w:footnote>
  <w:footnote w:type="continuationSeparator" w:id="0">
    <w:p w:rsidR="008558CF" w:rsidRDefault="008558CF" w:rsidP="00F4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A00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39A"/>
    <w:rsid w:val="00040BBC"/>
    <w:rsid w:val="000B2C40"/>
    <w:rsid w:val="001D4FAA"/>
    <w:rsid w:val="001E6777"/>
    <w:rsid w:val="0033795E"/>
    <w:rsid w:val="003A6BEA"/>
    <w:rsid w:val="003C71AF"/>
    <w:rsid w:val="004B61CF"/>
    <w:rsid w:val="005351F4"/>
    <w:rsid w:val="008558CF"/>
    <w:rsid w:val="00923E65"/>
    <w:rsid w:val="00A4588F"/>
    <w:rsid w:val="00B33602"/>
    <w:rsid w:val="00BF4511"/>
    <w:rsid w:val="00C072FF"/>
    <w:rsid w:val="00C60BBD"/>
    <w:rsid w:val="00D108A2"/>
    <w:rsid w:val="00D34256"/>
    <w:rsid w:val="00E2639A"/>
    <w:rsid w:val="00F410A6"/>
    <w:rsid w:val="00FC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pPr>
      <w:spacing w:after="160" w:line="259" w:lineRule="auto"/>
    </w:pPr>
    <w:rPr>
      <w:sz w:val="24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639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40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F4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0A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4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0A6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482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– Un legamant vesnic</dc:title>
  <dc:subject>Studiu Biblic, Trim. II, 2021 – Fagaduinta, legamantul cel vesnic al lui Dumnezeu</dc:subject>
  <dc:creator>Sergio Fustero Carreras</dc:creator>
  <cp:keywords>index_ro.php</cp:keywords>
  <dc:description/>
  <cp:lastModifiedBy>Administrator</cp:lastModifiedBy>
  <cp:revision>5</cp:revision>
  <dcterms:created xsi:type="dcterms:W3CDTF">2021-04-18T11:19:00Z</dcterms:created>
  <dcterms:modified xsi:type="dcterms:W3CDTF">2021-04-19T15:23:00Z</dcterms:modified>
</cp:coreProperties>
</file>