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8" w:rsidRPr="00F90BC8" w:rsidRDefault="00F90BC8" w:rsidP="00F90BC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90BC8">
        <w:rPr>
          <w:bCs/>
          <w:sz w:val="40"/>
          <w:szCs w:val="40"/>
          <w:lang w:val="ro-RO"/>
        </w:rPr>
        <w:t>Rezumatul Studiului 6 - Demascare şi judecată</w:t>
      </w:r>
      <w:bookmarkEnd w:id="0"/>
      <w:bookmarkEnd w:id="1"/>
    </w:p>
    <w:p w:rsidR="00F90BC8" w:rsidRPr="00F90BC8" w:rsidRDefault="00F90BC8" w:rsidP="00F90BC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93BF6" w:rsidRPr="00F90BC8" w:rsidRDefault="00693BF6" w:rsidP="00F90BC8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F90BC8">
        <w:rPr>
          <w:b/>
          <w:bCs/>
          <w:sz w:val="26"/>
          <w:szCs w:val="26"/>
          <w:lang w:val="ro-RO"/>
        </w:rPr>
        <w:t>Judecata popoarelor. Isaia 13-23.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Dumnezeu condamnă na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iunile care au avut legături (sau s-au asociat) cu poporul Său:</w:t>
      </w:r>
    </w:p>
    <w:p w:rsidR="00CB3B71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i/>
          <w:sz w:val="26"/>
          <w:szCs w:val="26"/>
          <w:u w:val="single"/>
          <w:lang w:val="ro-RO"/>
        </w:rPr>
        <w:t>Babilonia</w:t>
      </w:r>
      <w:r w:rsidRPr="00F90BC8">
        <w:rPr>
          <w:bCs/>
          <w:sz w:val="26"/>
          <w:szCs w:val="26"/>
          <w:lang w:val="ro-RO"/>
        </w:rPr>
        <w:t xml:space="preserve"> 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13:1-14:23; 21:1-17),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 Asiria</w:t>
      </w:r>
      <w:r w:rsidRPr="00F90BC8">
        <w:rPr>
          <w:bCs/>
          <w:sz w:val="26"/>
          <w:szCs w:val="26"/>
          <w:lang w:val="ro-RO"/>
        </w:rPr>
        <w:t xml:space="preserve"> 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14:24-27),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 </w:t>
      </w:r>
      <w:proofErr w:type="spellStart"/>
      <w:r w:rsidRPr="00F90BC8">
        <w:rPr>
          <w:bCs/>
          <w:i/>
          <w:sz w:val="26"/>
          <w:szCs w:val="26"/>
          <w:u w:val="single"/>
          <w:lang w:val="ro-RO"/>
        </w:rPr>
        <w:t>Filistea</w:t>
      </w:r>
      <w:proofErr w:type="spellEnd"/>
      <w:r w:rsidRPr="00F90BC8">
        <w:rPr>
          <w:bCs/>
          <w:i/>
          <w:sz w:val="26"/>
          <w:szCs w:val="26"/>
          <w:u w:val="single"/>
          <w:lang w:val="ro-RO"/>
        </w:rPr>
        <w:t xml:space="preserve">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14:28-32), </w:t>
      </w:r>
      <w:r w:rsidRPr="00F90BC8">
        <w:rPr>
          <w:bCs/>
          <w:i/>
          <w:sz w:val="26"/>
          <w:szCs w:val="26"/>
          <w:u w:val="single"/>
          <w:lang w:val="ro-RO"/>
        </w:rPr>
        <w:t>Moab</w:t>
      </w:r>
      <w:r w:rsidRPr="00F90BC8">
        <w:rPr>
          <w:bCs/>
          <w:sz w:val="26"/>
          <w:szCs w:val="26"/>
          <w:lang w:val="ro-RO"/>
        </w:rPr>
        <w:t xml:space="preserve"> 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15:1-6:14),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 Siria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17:1-14), </w:t>
      </w:r>
      <w:r w:rsidRPr="00F90BC8">
        <w:rPr>
          <w:bCs/>
          <w:i/>
          <w:sz w:val="26"/>
          <w:szCs w:val="26"/>
          <w:u w:val="single"/>
          <w:lang w:val="ro-RO"/>
        </w:rPr>
        <w:t>Etiopia</w:t>
      </w:r>
      <w:r w:rsidRPr="00F90BC8">
        <w:rPr>
          <w:bCs/>
          <w:sz w:val="26"/>
          <w:szCs w:val="26"/>
          <w:lang w:val="ro-RO"/>
        </w:rPr>
        <w:t xml:space="preserve"> 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18:1-7), 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Egipt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19:1-20:6), 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Ierusalim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22:1-25), </w:t>
      </w:r>
      <w:r w:rsidRPr="00F90BC8">
        <w:rPr>
          <w:bCs/>
          <w:i/>
          <w:sz w:val="26"/>
          <w:szCs w:val="26"/>
          <w:u w:val="single"/>
          <w:lang w:val="ro-RO"/>
        </w:rPr>
        <w:t xml:space="preserve">Tir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23:1-18)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Unele au primit un mesaj de speran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ă care le-ar reduce pedeapsa (Isaia 19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16-25). Dar toate au trebuit să sufere consecin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ele ac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iunilor lor.</w:t>
      </w:r>
    </w:p>
    <w:p w:rsidR="00F90BC8" w:rsidRDefault="00693BF6" w:rsidP="00F90BC8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/>
          <w:bCs/>
          <w:sz w:val="26"/>
          <w:szCs w:val="26"/>
          <w:lang w:val="ro-RO"/>
        </w:rPr>
        <w:t>Babilonul din timpul sfâr</w:t>
      </w:r>
      <w:r w:rsidR="00F90BC8">
        <w:rPr>
          <w:b/>
          <w:bCs/>
          <w:sz w:val="26"/>
          <w:szCs w:val="26"/>
          <w:lang w:val="ro-RO"/>
        </w:rPr>
        <w:t>ş</w:t>
      </w:r>
      <w:r w:rsidRPr="00F90BC8">
        <w:rPr>
          <w:b/>
          <w:bCs/>
          <w:sz w:val="26"/>
          <w:szCs w:val="26"/>
          <w:lang w:val="ro-RO"/>
        </w:rPr>
        <w:t>itului. Isaia 13.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A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a cum Isus a descris distrugerea Ierusalimului amestecată cu evenimentele celei de-a doua veniri, El prezintă căderea Babilonului ca o compara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ie a acestui eveniment (v. 9-11).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Dumnezeu a dirijat evenimentele, dar nu a împiedicat elementele umane folosite de El să lucreze după propriile lor dorin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e (v. 15-18).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De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 xml:space="preserve">i </w:t>
      </w:r>
      <w:proofErr w:type="spellStart"/>
      <w:r w:rsidRPr="00F90BC8">
        <w:rPr>
          <w:bCs/>
          <w:sz w:val="26"/>
          <w:szCs w:val="26"/>
          <w:lang w:val="ro-RO"/>
        </w:rPr>
        <w:t>medo-persii</w:t>
      </w:r>
      <w:proofErr w:type="spellEnd"/>
      <w:r w:rsidRPr="00F90BC8">
        <w:rPr>
          <w:bCs/>
          <w:sz w:val="26"/>
          <w:szCs w:val="26"/>
          <w:lang w:val="ro-RO"/>
        </w:rPr>
        <w:t xml:space="preserve"> au făcut din Babilon una dintre capitalele lor, când Alexandru cel Mare a intrat în el, l-a găsit deja într-</w:t>
      </w:r>
      <w:r w:rsidR="00F90BC8">
        <w:rPr>
          <w:bCs/>
          <w:sz w:val="26"/>
          <w:szCs w:val="26"/>
          <w:lang w:val="ro-RO"/>
        </w:rPr>
        <w:t>o</w:t>
      </w:r>
      <w:r w:rsidRPr="00F90BC8">
        <w:rPr>
          <w:bCs/>
          <w:sz w:val="26"/>
          <w:szCs w:val="26"/>
          <w:lang w:val="ro-RO"/>
        </w:rPr>
        <w:t xml:space="preserve"> stare degradată. Treptat, Babilonul a fost dat uitării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abandonat (v. 20).</w:t>
      </w:r>
    </w:p>
    <w:p w:rsidR="00693BF6" w:rsidRPr="00F90BC8" w:rsidRDefault="00693BF6" w:rsidP="00F90BC8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F90BC8">
        <w:rPr>
          <w:b/>
          <w:bCs/>
          <w:sz w:val="26"/>
          <w:szCs w:val="26"/>
          <w:lang w:val="ro-RO"/>
        </w:rPr>
        <w:t>Lucifer care a vrut să fie ca Dumnezeu. Isaia 14:12-14.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Regel</w:t>
      </w:r>
      <w:r w:rsidR="00F90BC8">
        <w:rPr>
          <w:bCs/>
          <w:sz w:val="26"/>
          <w:szCs w:val="26"/>
          <w:lang w:val="ro-RO"/>
        </w:rPr>
        <w:t>e</w:t>
      </w:r>
      <w:r w:rsidRPr="00F90BC8">
        <w:rPr>
          <w:bCs/>
          <w:sz w:val="26"/>
          <w:szCs w:val="26"/>
          <w:lang w:val="ro-RO"/>
        </w:rPr>
        <w:t xml:space="preserve"> Babilonului este prezentat plin de mândrie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orgoliu. La fel au fost mul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 dintre regii lor (vezi Daniel 2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5; 3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7; 4:30; 5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2).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 xml:space="preserve">Cu toate acestea, modul extrem de poetic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alegoric în care este scrisă această profe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ie indică în mod clar că însă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rădăcina problemei este arătată adevăratului rege al Babilonului: Lucifer, „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 xml:space="preserve">arpele vechi, numit diavolul </w:t>
      </w:r>
      <w:r w:rsidR="00F90BC8">
        <w:rPr>
          <w:bCs/>
          <w:sz w:val="26"/>
          <w:szCs w:val="26"/>
          <w:lang w:val="ro-RO"/>
        </w:rPr>
        <w:t>ş</w:t>
      </w:r>
      <w:r w:rsidR="0007589C">
        <w:rPr>
          <w:bCs/>
          <w:sz w:val="26"/>
          <w:szCs w:val="26"/>
          <w:lang w:val="ro-RO"/>
        </w:rPr>
        <w:t>i Satana” Apocalipsa 12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9).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 xml:space="preserve">Lucifer a vrut să fie „ca Cel Preaînalt” (v. 14);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a declarat: „Eu sunt Dumnezeu” (Ezechiel 28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2). Atitudinea sa este în contrast puternic cu cea a lui Dumnezeu, care „s-a smerit” (</w:t>
      </w:r>
      <w:proofErr w:type="spellStart"/>
      <w:r w:rsidRPr="00F90BC8">
        <w:rPr>
          <w:bCs/>
          <w:sz w:val="26"/>
          <w:szCs w:val="26"/>
          <w:lang w:val="ro-RO"/>
        </w:rPr>
        <w:t>Fil</w:t>
      </w:r>
      <w:proofErr w:type="spellEnd"/>
      <w:r w:rsidRPr="00F90BC8">
        <w:rPr>
          <w:bCs/>
          <w:sz w:val="26"/>
          <w:szCs w:val="26"/>
          <w:lang w:val="ro-RO"/>
        </w:rPr>
        <w:t>.</w:t>
      </w:r>
      <w:r w:rsidR="00F90BC8">
        <w:rPr>
          <w:bCs/>
          <w:sz w:val="26"/>
          <w:szCs w:val="26"/>
          <w:lang w:val="ro-RO"/>
        </w:rPr>
        <w:t xml:space="preserve"> </w:t>
      </w:r>
      <w:r w:rsidRPr="00F90BC8">
        <w:rPr>
          <w:bCs/>
          <w:sz w:val="26"/>
          <w:szCs w:val="26"/>
          <w:lang w:val="ro-RO"/>
        </w:rPr>
        <w:t>2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8).</w:t>
      </w:r>
    </w:p>
    <w:p w:rsidR="00693BF6" w:rsidRPr="00F90BC8" w:rsidRDefault="00693BF6" w:rsidP="00F90BC8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F90BC8">
        <w:rPr>
          <w:b/>
          <w:bCs/>
          <w:sz w:val="26"/>
          <w:szCs w:val="26"/>
          <w:lang w:val="ro-RO"/>
        </w:rPr>
        <w:t>Sfâr</w:t>
      </w:r>
      <w:r w:rsidR="00F90BC8">
        <w:rPr>
          <w:b/>
          <w:bCs/>
          <w:sz w:val="26"/>
          <w:szCs w:val="26"/>
          <w:lang w:val="ro-RO"/>
        </w:rPr>
        <w:t>ş</w:t>
      </w:r>
      <w:r w:rsidRPr="00F90BC8">
        <w:rPr>
          <w:b/>
          <w:bCs/>
          <w:sz w:val="26"/>
          <w:szCs w:val="26"/>
          <w:lang w:val="ro-RO"/>
        </w:rPr>
        <w:t>itul Babilonului. Isaia 14:15-23.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Isaia 14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 xml:space="preserve">18-20 ne arată destinul final al acestui „rege” al Babilonului: distrugerea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uitarea eternă. Ce final diferit va fi pentru cei care se pun cu umilin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ă în slujba lui Dumnezeu!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 xml:space="preserve">Cu toate acestea, Babilonul nu a dispărut încă. Este încă prezent în puterile mândre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nemiloase care asupresc poporul lui Dumnezeu (vezi Apocalipsa 17).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Numele său înseamnă „confuzie”, de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în limba caldeeană avea un alt sens: „Poarta zeilor”. Este u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a largă care duce la distrugere, în încercarea de a se salva prin propriile sale merite.</w:t>
      </w:r>
    </w:p>
    <w:p w:rsidR="0007589C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Biblia ne arată o altă u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ă: „u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 xml:space="preserve">a cerului”, Betel, prin care cei care Îl urmează pe Isus intră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Îl acceptă prin credin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ă ca Mântuitor personal.</w:t>
      </w:r>
    </w:p>
    <w:p w:rsidR="00693BF6" w:rsidRPr="00F90BC8" w:rsidRDefault="00693BF6" w:rsidP="00F90BC8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 w:val="26"/>
          <w:szCs w:val="26"/>
          <w:lang w:val="ro-RO"/>
        </w:rPr>
      </w:pPr>
      <w:r w:rsidRPr="00F90BC8">
        <w:rPr>
          <w:b/>
          <w:bCs/>
          <w:sz w:val="26"/>
          <w:szCs w:val="26"/>
          <w:lang w:val="ro-RO"/>
        </w:rPr>
        <w:t>Triumful final. Isaia 24-27.</w:t>
      </w:r>
    </w:p>
    <w:p w:rsidR="00693BF6" w:rsidRP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 xml:space="preserve">Va veni vremea când Dumnezeu va pune capăt acestei lumi. În această lucrare, Dumnezeu le va spune unora: „Să </w:t>
      </w:r>
      <w:proofErr w:type="spellStart"/>
      <w:r w:rsidRPr="00F90BC8">
        <w:rPr>
          <w:bCs/>
          <w:sz w:val="26"/>
          <w:szCs w:val="26"/>
          <w:lang w:val="ro-RO"/>
        </w:rPr>
        <w:t>învieze</w:t>
      </w:r>
      <w:proofErr w:type="spellEnd"/>
      <w:r w:rsidRPr="00F90BC8">
        <w:rPr>
          <w:bCs/>
          <w:sz w:val="26"/>
          <w:szCs w:val="26"/>
          <w:lang w:val="ro-RO"/>
        </w:rPr>
        <w:t xml:space="preserve"> dar morţii Tăi! Să se scoale trupurile mele moarte!”; iar altora: „Cei ce sunt morţi acum nu vor mai trăi, sunt ni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 xml:space="preserve">te umbre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nu se vor mai scula”</w:t>
      </w:r>
      <w:r w:rsidR="0007589C">
        <w:rPr>
          <w:bCs/>
          <w:sz w:val="26"/>
          <w:szCs w:val="26"/>
          <w:lang w:val="ro-RO"/>
        </w:rPr>
        <w:t xml:space="preserve"> </w:t>
      </w:r>
      <w:r w:rsidRPr="00F90BC8">
        <w:rPr>
          <w:bCs/>
          <w:sz w:val="26"/>
          <w:szCs w:val="26"/>
          <w:lang w:val="ro-RO"/>
        </w:rPr>
        <w:t>(Isaia 26:19, 14).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Când Dumnezeu va veni să-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elibereze poporul, se va auzi bucuria triumfătoare a celor răscumpăra</w:t>
      </w:r>
      <w:r w:rsidR="00F90BC8">
        <w:rPr>
          <w:bCs/>
          <w:sz w:val="26"/>
          <w:szCs w:val="26"/>
          <w:lang w:val="ro-RO"/>
        </w:rPr>
        <w:t>ţ</w:t>
      </w:r>
      <w:r w:rsidRPr="00F90BC8">
        <w:rPr>
          <w:bCs/>
          <w:sz w:val="26"/>
          <w:szCs w:val="26"/>
          <w:lang w:val="ro-RO"/>
        </w:rPr>
        <w:t>i: „Iată, acesta este Dumnezeul nostru, în care aveam încredere că ne va mântui.”. Atunci va „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 xml:space="preserve">terge lacrimile de pe toate feţele </w:t>
      </w:r>
      <w:r w:rsidR="00F90BC8">
        <w:rPr>
          <w:bCs/>
          <w:sz w:val="26"/>
          <w:szCs w:val="26"/>
          <w:lang w:val="ro-RO"/>
        </w:rPr>
        <w:t>ş</w:t>
      </w:r>
      <w:r w:rsidRPr="00F90BC8">
        <w:rPr>
          <w:bCs/>
          <w:sz w:val="26"/>
          <w:szCs w:val="26"/>
          <w:lang w:val="ro-RO"/>
        </w:rPr>
        <w:t>i îndepărtează de pe tot pământul ocara poporului Său”</w:t>
      </w:r>
      <w:r w:rsidR="0007589C">
        <w:rPr>
          <w:bCs/>
          <w:sz w:val="26"/>
          <w:szCs w:val="26"/>
          <w:lang w:val="ro-RO"/>
        </w:rPr>
        <w:t xml:space="preserve"> </w:t>
      </w:r>
      <w:r w:rsidRPr="00F90BC8">
        <w:rPr>
          <w:bCs/>
          <w:sz w:val="26"/>
          <w:szCs w:val="26"/>
          <w:lang w:val="ro-RO"/>
        </w:rPr>
        <w:t>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25</w:t>
      </w:r>
      <w:r w:rsidR="00F90BC8">
        <w:rPr>
          <w:bCs/>
          <w:sz w:val="26"/>
          <w:szCs w:val="26"/>
          <w:lang w:val="ro-RO"/>
        </w:rPr>
        <w:t>:</w:t>
      </w:r>
      <w:r w:rsidRPr="00F90BC8">
        <w:rPr>
          <w:bCs/>
          <w:sz w:val="26"/>
          <w:szCs w:val="26"/>
          <w:lang w:val="ro-RO"/>
        </w:rPr>
        <w:t>8-9).</w:t>
      </w:r>
    </w:p>
    <w:p w:rsidR="00F90BC8" w:rsidRDefault="00693BF6" w:rsidP="00F90BC8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6"/>
          <w:szCs w:val="26"/>
          <w:lang w:val="ro-RO"/>
        </w:rPr>
      </w:pPr>
      <w:r w:rsidRPr="00F90BC8">
        <w:rPr>
          <w:bCs/>
          <w:sz w:val="26"/>
          <w:szCs w:val="26"/>
          <w:lang w:val="ro-RO"/>
        </w:rPr>
        <w:t>Dar înainte ca totul să fie încheiat, înainte ca acesta să fie reînnoit, înainte ca Dumnezeu să încheie „lucrarea Lui ciudată”, pământul va fi pustiu pentru o vreme (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 xml:space="preserve">. 24; Apoc. 20; </w:t>
      </w:r>
      <w:proofErr w:type="spellStart"/>
      <w:r w:rsidRPr="00F90BC8">
        <w:rPr>
          <w:bCs/>
          <w:sz w:val="26"/>
          <w:szCs w:val="26"/>
          <w:lang w:val="ro-RO"/>
        </w:rPr>
        <w:t>Is</w:t>
      </w:r>
      <w:proofErr w:type="spellEnd"/>
      <w:r w:rsidRPr="00F90BC8">
        <w:rPr>
          <w:bCs/>
          <w:sz w:val="26"/>
          <w:szCs w:val="26"/>
          <w:lang w:val="ro-RO"/>
        </w:rPr>
        <w:t>. 28:21).</w:t>
      </w:r>
    </w:p>
    <w:p w:rsidR="009D25B9" w:rsidRPr="0007589C" w:rsidRDefault="009D25B9" w:rsidP="0007589C">
      <w:pPr>
        <w:spacing w:after="0" w:line="240" w:lineRule="auto"/>
        <w:ind w:left="363"/>
        <w:jc w:val="both"/>
        <w:rPr>
          <w:sz w:val="26"/>
          <w:szCs w:val="26"/>
          <w:lang w:val="ro-RO"/>
        </w:rPr>
      </w:pPr>
    </w:p>
    <w:sectPr w:rsidR="009D25B9" w:rsidRPr="0007589C" w:rsidSect="0007589C">
      <w:footerReference w:type="default" r:id="rId7"/>
      <w:pgSz w:w="11906" w:h="16838" w:code="9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45" w:rsidRDefault="00EE0C45" w:rsidP="0007589C">
      <w:pPr>
        <w:spacing w:after="0" w:line="240" w:lineRule="auto"/>
      </w:pPr>
      <w:r>
        <w:separator/>
      </w:r>
    </w:p>
  </w:endnote>
  <w:endnote w:type="continuationSeparator" w:id="0">
    <w:p w:rsidR="00EE0C45" w:rsidRDefault="00EE0C45" w:rsidP="000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9C" w:rsidRPr="0007589C" w:rsidRDefault="0007589C">
    <w:pPr>
      <w:pStyle w:val="Subsol"/>
      <w:rPr>
        <w:i/>
        <w:lang w:val="ro-RO"/>
      </w:rPr>
    </w:pPr>
    <w:r w:rsidRPr="0007589C">
      <w:rPr>
        <w:i/>
        <w:lang w:val="ro-RO"/>
      </w:rPr>
      <w:t xml:space="preserve">Studiu Biblic, </w:t>
    </w:r>
    <w:proofErr w:type="spellStart"/>
    <w:r w:rsidRPr="0007589C">
      <w:rPr>
        <w:i/>
        <w:lang w:val="ro-RO"/>
      </w:rPr>
      <w:t>Trim</w:t>
    </w:r>
    <w:proofErr w:type="spellEnd"/>
    <w:r w:rsidRPr="0007589C">
      <w:rPr>
        <w:i/>
        <w:lang w:val="ro-RO"/>
      </w:rPr>
      <w:t>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45" w:rsidRDefault="00EE0C45" w:rsidP="0007589C">
      <w:pPr>
        <w:spacing w:after="0" w:line="240" w:lineRule="auto"/>
      </w:pPr>
      <w:r>
        <w:separator/>
      </w:r>
    </w:p>
  </w:footnote>
  <w:footnote w:type="continuationSeparator" w:id="0">
    <w:p w:rsidR="00EE0C45" w:rsidRDefault="00EE0C45" w:rsidP="0007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F38"/>
    <w:multiLevelType w:val="hybridMultilevel"/>
    <w:tmpl w:val="DACC6390"/>
    <w:lvl w:ilvl="0" w:tplc="EF76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873B4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2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C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87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EC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D5919"/>
    <w:multiLevelType w:val="multilevel"/>
    <w:tmpl w:val="BF2C96A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76D7369"/>
    <w:multiLevelType w:val="hybridMultilevel"/>
    <w:tmpl w:val="B33ECD44"/>
    <w:lvl w:ilvl="0" w:tplc="5152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4E024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6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8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6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6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CA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C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E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61178"/>
    <w:multiLevelType w:val="hybridMultilevel"/>
    <w:tmpl w:val="CAE8D882"/>
    <w:lvl w:ilvl="0" w:tplc="85DA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46D6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7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4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CA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8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6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C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A0"/>
    <w:rsid w:val="00055167"/>
    <w:rsid w:val="00065CF4"/>
    <w:rsid w:val="0007589C"/>
    <w:rsid w:val="000B2C40"/>
    <w:rsid w:val="00241054"/>
    <w:rsid w:val="003A6BEA"/>
    <w:rsid w:val="003C71AF"/>
    <w:rsid w:val="00482BDA"/>
    <w:rsid w:val="00540096"/>
    <w:rsid w:val="00693BF6"/>
    <w:rsid w:val="006C75F4"/>
    <w:rsid w:val="006F33DC"/>
    <w:rsid w:val="007052E4"/>
    <w:rsid w:val="008E3E74"/>
    <w:rsid w:val="009D25B9"/>
    <w:rsid w:val="00A73409"/>
    <w:rsid w:val="00AC3C0C"/>
    <w:rsid w:val="00AE058C"/>
    <w:rsid w:val="00B832A0"/>
    <w:rsid w:val="00BB1A13"/>
    <w:rsid w:val="00CB3B71"/>
    <w:rsid w:val="00D376DA"/>
    <w:rsid w:val="00EE0C45"/>
    <w:rsid w:val="00F90BC8"/>
    <w:rsid w:val="00F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8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B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07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7589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07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7589C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Demascare si judecata</dc:title>
  <dc:subject>Studiu Biblic, Trim. I, 2021 – Isaia</dc:subject>
  <dc:creator>Sergio Fustero Carreras</dc:creator>
  <cp:keywords>https://www.fustero.es/index_ro.php</cp:keywords>
  <dc:description/>
  <cp:lastModifiedBy>Tronaru Viorel</cp:lastModifiedBy>
  <cp:revision>3</cp:revision>
  <cp:lastPrinted>2021-02-02T14:56:00Z</cp:lastPrinted>
  <dcterms:created xsi:type="dcterms:W3CDTF">2021-02-02T14:57:00Z</dcterms:created>
  <dcterms:modified xsi:type="dcterms:W3CDTF">2021-02-02T18:48:00Z</dcterms:modified>
</cp:coreProperties>
</file>