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73" w:rsidRPr="00BB5173" w:rsidRDefault="00BB5173" w:rsidP="00BB5173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r w:rsidRPr="00BB5173">
        <w:rPr>
          <w:bCs/>
          <w:sz w:val="40"/>
          <w:szCs w:val="40"/>
          <w:lang w:val="ro-RO"/>
        </w:rPr>
        <w:t>Rezumatul Studiului 3 - Priveşte-i pe oameni prin ochii lui Isus!</w:t>
      </w:r>
    </w:p>
    <w:p w:rsidR="00BB5173" w:rsidRPr="00BB5173" w:rsidRDefault="00BB5173" w:rsidP="00BB5173">
      <w:pPr>
        <w:spacing w:after="0" w:line="240" w:lineRule="auto"/>
        <w:jc w:val="both"/>
        <w:rPr>
          <w:bCs/>
          <w:lang w:val="ro-RO"/>
        </w:rPr>
      </w:pPr>
    </w:p>
    <w:p w:rsidR="00841E68" w:rsidRPr="00BB5173" w:rsidRDefault="00841E68" w:rsidP="00BB5173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BB5173">
        <w:rPr>
          <w:b/>
          <w:bCs/>
          <w:lang w:val="ro-RO"/>
        </w:rPr>
        <w:t>Conducându-i pe al</w:t>
      </w:r>
      <w:r w:rsidR="00BB5173">
        <w:rPr>
          <w:b/>
          <w:bCs/>
          <w:lang w:val="ro-RO"/>
        </w:rPr>
        <w:t>ţ</w:t>
      </w:r>
      <w:r w:rsidRPr="00BB5173">
        <w:rPr>
          <w:b/>
          <w:bCs/>
          <w:lang w:val="ro-RO"/>
        </w:rPr>
        <w:t>ii.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lang w:val="ro-RO"/>
        </w:rPr>
      </w:pPr>
      <w:r w:rsidRPr="00BB5173">
        <w:rPr>
          <w:lang w:val="ro-RO"/>
        </w:rPr>
        <w:t xml:space="preserve">Marcu 8:22-26 </w:t>
      </w:r>
      <w:r w:rsidRPr="00BB5173">
        <w:rPr>
          <w:bCs/>
          <w:lang w:val="ro-RO"/>
        </w:rPr>
        <w:t>prezintă o minune specială din mai multe puncte de vedere.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Orbul nu credea în Isus, dar prietenii lui, da.</w:t>
      </w:r>
    </w:p>
    <w:p w:rsidR="00B23442" w:rsidRPr="00BB5173" w:rsidRDefault="00841E68" w:rsidP="00BB5173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Multe persoane nu vor veni la Isus dacă cineva cu credin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ă nu îi aduce. Aceasta este lucrarea noastră.</w:t>
      </w:r>
    </w:p>
    <w:p w:rsidR="00841E68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Isus s-a atins de două ori de orb.</w:t>
      </w:r>
    </w:p>
    <w:p w:rsidR="00841E68" w:rsidRPr="00BB5173" w:rsidRDefault="00841E68" w:rsidP="00BB5173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 xml:space="preserve">Uneori avem nevoie de o </w:t>
      </w:r>
      <w:r w:rsidR="00BB5173">
        <w:rPr>
          <w:bCs/>
          <w:lang w:val="ro-RO"/>
        </w:rPr>
        <w:t>„</w:t>
      </w:r>
      <w:r w:rsidRPr="00BB5173">
        <w:rPr>
          <w:bCs/>
          <w:lang w:val="ro-RO"/>
        </w:rPr>
        <w:t>a doua atingere” a lui Isus pentru a vedea cu claritate adevărurile spirituale.</w:t>
      </w:r>
    </w:p>
    <w:p w:rsidR="00841E68" w:rsidRPr="00BB5173" w:rsidRDefault="00841E68" w:rsidP="00BB5173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BB5173">
        <w:rPr>
          <w:b/>
          <w:bCs/>
          <w:lang w:val="ro-RO"/>
        </w:rPr>
        <w:t>Acceptându-i pe to</w:t>
      </w:r>
      <w:r w:rsidR="00BB5173">
        <w:rPr>
          <w:b/>
          <w:bCs/>
          <w:lang w:val="ro-RO"/>
        </w:rPr>
        <w:t>ţ</w:t>
      </w:r>
      <w:r w:rsidRPr="00BB5173">
        <w:rPr>
          <w:b/>
          <w:bCs/>
          <w:lang w:val="ro-RO"/>
        </w:rPr>
        <w:t>i.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 xml:space="preserve">Ochii lui Isus vedeau dincolo de rasa, cultura, sexul sau religia unei persoane. El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 xml:space="preserve">tia că în Samaria există oameni care au nevoie de mântuire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era de datoria lui să meargă în căutarea lor.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Privind prin ochii compasiunii divine, orice barieră care ne separă de oameni se descompune. Vedem în ei candida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 pentru Împără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ia Cerurilor.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Aceasta nu înseamnă că împărtă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 xml:space="preserve">im sau acceptăm ideile lor politice sau religioase. Înseamnă că îi iubim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dorim tot ce este mai bun pentru ei.</w:t>
      </w:r>
    </w:p>
    <w:p w:rsidR="00841E68" w:rsidRPr="00BB5173" w:rsidRDefault="00841E68" w:rsidP="00BB5173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BB5173">
        <w:rPr>
          <w:b/>
          <w:bCs/>
          <w:lang w:val="ro-RO"/>
        </w:rPr>
        <w:t>Făcându-ne prieteni.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 xml:space="preserve">În timp ce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i-a luat rămas bun de la ucenici, Iisus i-a însărcinat să predice Evanghelia în cercuri tot mai largi</w:t>
      </w:r>
      <w:r w:rsidR="00BB5173">
        <w:rPr>
          <w:bCs/>
          <w:lang w:val="ro-RO"/>
        </w:rPr>
        <w:t>: „în Ierusalim, în toată I</w:t>
      </w:r>
      <w:r w:rsidRPr="00BB5173">
        <w:rPr>
          <w:bCs/>
          <w:lang w:val="ro-RO"/>
        </w:rPr>
        <w:t>ude</w:t>
      </w:r>
      <w:r w:rsidR="00BB5173">
        <w:rPr>
          <w:bCs/>
          <w:lang w:val="ro-RO"/>
        </w:rPr>
        <w:t>e</w:t>
      </w:r>
      <w:r w:rsidRPr="00BB5173">
        <w:rPr>
          <w:bCs/>
          <w:lang w:val="ro-RO"/>
        </w:rPr>
        <w:t xml:space="preserve">a, în Samaria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 xml:space="preserve">i până la </w:t>
      </w:r>
      <w:r w:rsidR="00BB5173">
        <w:rPr>
          <w:bCs/>
          <w:lang w:val="ro-RO"/>
        </w:rPr>
        <w:t>margini</w:t>
      </w:r>
      <w:r w:rsidRPr="00BB5173">
        <w:rPr>
          <w:bCs/>
          <w:lang w:val="ro-RO"/>
        </w:rPr>
        <w:t>le pământului” (Fapte 1: 8).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Un exemplu de aplicare a acestei tactici îl vedem la ucenicul Andrei. El a început prin a I-l prezenta pe Isus fratelui său [Iudeea].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 xml:space="preserve">Cu o altă ocazie, s-a împrietenit cu un băiat [Samaria]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 xml:space="preserve">i </w:t>
      </w:r>
      <w:r w:rsidR="00BB5173">
        <w:rPr>
          <w:bCs/>
          <w:lang w:val="ro-RO"/>
        </w:rPr>
        <w:t>–</w:t>
      </w:r>
      <w:r w:rsidRPr="00BB5173">
        <w:rPr>
          <w:bCs/>
          <w:lang w:val="ro-RO"/>
        </w:rPr>
        <w:t xml:space="preserve"> prin acesta</w:t>
      </w:r>
      <w:r w:rsidR="00BB5173">
        <w:rPr>
          <w:bCs/>
          <w:lang w:val="ro-RO"/>
        </w:rPr>
        <w:t xml:space="preserve"> –</w:t>
      </w:r>
      <w:r w:rsidRPr="00BB5173">
        <w:rPr>
          <w:bCs/>
          <w:lang w:val="ro-RO"/>
        </w:rPr>
        <w:t xml:space="preserve"> Isus a făcut o mare minune (Ioan 6: 5-11).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I-a devenit u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 xml:space="preserve">or să se descurce chiar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cu străinii [până la capătul pământului], cum a fost cazul grecilor care îl căutau pe Isus (Ioan 12: 20-26).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Exemplul său ne înva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ă o modalitate eficientă de a atrage sufletele către Isus: de a construi rela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ii de iubire cu oamenii.</w:t>
      </w:r>
    </w:p>
    <w:p w:rsidR="00841E68" w:rsidRPr="00BB5173" w:rsidRDefault="00841E68" w:rsidP="00BB5173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BB5173">
        <w:rPr>
          <w:b/>
          <w:bCs/>
          <w:lang w:val="ro-RO"/>
        </w:rPr>
        <w:t>Tratându-i special.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Cum trata Isus persoanele dificile?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Le asculta cu aten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ie.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Le punea întrebări.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Le descoperea treptat adevărul.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Recuno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tea dorin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a lăuntrică a inimii.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Vedea poten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 xml:space="preserve">ial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în cei mai decăzu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 oameni.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Nu considera pe nimeni nedemn de a primi evanghelia.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Vedea în ei reflectarea slavei Crea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iunii originale.</w:t>
      </w:r>
    </w:p>
    <w:p w:rsidR="00B23442" w:rsidRPr="00BB5173" w:rsidRDefault="00841E68" w:rsidP="00BB5173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Le înnobila gândirea pentru a vedea ce ar putea deveni.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Să vezi cu ochii lui Isus înseamnă să vezi fiecare persoană ca un candidat pentru Împără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 xml:space="preserve">ia Cerurilor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să o tratezi în conformitate cu acea perspectivă. Pentru a face acest lucru, trebuie să rugăm Duhul Sfânt să ne înzestreze cu acest tip de viziune.</w:t>
      </w:r>
    </w:p>
    <w:p w:rsidR="00841E68" w:rsidRPr="00BB5173" w:rsidRDefault="00841E68" w:rsidP="00BB5173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BB5173">
        <w:rPr>
          <w:b/>
          <w:bCs/>
          <w:lang w:val="ro-RO"/>
        </w:rPr>
        <w:t>Profitând de oportunită</w:t>
      </w:r>
      <w:r w:rsidR="00BB5173">
        <w:rPr>
          <w:b/>
          <w:bCs/>
          <w:lang w:val="ro-RO"/>
        </w:rPr>
        <w:t>ţ</w:t>
      </w:r>
      <w:r w:rsidRPr="00BB5173">
        <w:rPr>
          <w:b/>
          <w:bCs/>
          <w:lang w:val="ro-RO"/>
        </w:rPr>
        <w:t>i.</w:t>
      </w:r>
    </w:p>
    <w:p w:rsidR="00841E68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 xml:space="preserve">Ca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 xml:space="preserve">i în cazul lui Filip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eunucul etiopian, Dumnezeu deschide u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pentru proclamarea Evangheliei, oferindu-ne oportunită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 providen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>iale pentru a fi martori.</w:t>
      </w:r>
    </w:p>
    <w:p w:rsidR="00686040" w:rsidRPr="00BB5173" w:rsidRDefault="00841E68" w:rsidP="00BB5173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BB5173">
        <w:rPr>
          <w:bCs/>
          <w:lang w:val="ro-RO"/>
        </w:rPr>
        <w:t>Îngerii invizibili a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teaptă să ne călăuzească prin acele „u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deschise”. Trebuie să cerem Domnului să ne ajute să recunoa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tem aceste momente providen</w:t>
      </w:r>
      <w:r w:rsidR="00BB5173">
        <w:rPr>
          <w:bCs/>
          <w:lang w:val="ro-RO"/>
        </w:rPr>
        <w:t>ţ</w:t>
      </w:r>
      <w:r w:rsidRPr="00BB5173">
        <w:rPr>
          <w:bCs/>
          <w:lang w:val="ro-RO"/>
        </w:rPr>
        <w:t xml:space="preserve">iale </w:t>
      </w:r>
      <w:r w:rsidR="00BB5173">
        <w:rPr>
          <w:bCs/>
          <w:lang w:val="ro-RO"/>
        </w:rPr>
        <w:t>ş</w:t>
      </w:r>
      <w:r w:rsidRPr="00BB5173">
        <w:rPr>
          <w:bCs/>
          <w:lang w:val="ro-RO"/>
        </w:rPr>
        <w:t>i să ne dea cuvintele necesare la momentele potrivite.</w:t>
      </w:r>
    </w:p>
    <w:sectPr w:rsidR="00686040" w:rsidRPr="00BB5173" w:rsidSect="000B2C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55" w:rsidRDefault="00F42855" w:rsidP="00A55DE1">
      <w:pPr>
        <w:spacing w:after="0" w:line="240" w:lineRule="auto"/>
      </w:pPr>
      <w:r>
        <w:separator/>
      </w:r>
    </w:p>
  </w:endnote>
  <w:endnote w:type="continuationSeparator" w:id="1">
    <w:p w:rsidR="00F42855" w:rsidRDefault="00F42855" w:rsidP="00A5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E1" w:rsidRPr="00A55DE1" w:rsidRDefault="00A55DE1">
    <w:pPr>
      <w:pStyle w:val="Subsol"/>
      <w:rPr>
        <w:i/>
        <w:lang w:val="ro-RO"/>
      </w:rPr>
    </w:pPr>
    <w:r w:rsidRPr="00A55DE1">
      <w:rPr>
        <w:i/>
        <w:lang w:val="ro-RO"/>
      </w:rPr>
      <w:t>Studiu Biblic, Trim. III, 2020 – Bucuria misiunii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55" w:rsidRDefault="00F42855" w:rsidP="00A55DE1">
      <w:pPr>
        <w:spacing w:after="0" w:line="240" w:lineRule="auto"/>
      </w:pPr>
      <w:r>
        <w:separator/>
      </w:r>
    </w:p>
  </w:footnote>
  <w:footnote w:type="continuationSeparator" w:id="1">
    <w:p w:rsidR="00F42855" w:rsidRDefault="00F42855" w:rsidP="00A5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E4E"/>
    <w:multiLevelType w:val="hybridMultilevel"/>
    <w:tmpl w:val="DFC29ED4"/>
    <w:lvl w:ilvl="0" w:tplc="A52E8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4F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A8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67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AA5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E4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C61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40D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A8D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2D71B9"/>
    <w:multiLevelType w:val="multilevel"/>
    <w:tmpl w:val="0A64DD80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31A245B5"/>
    <w:multiLevelType w:val="multilevel"/>
    <w:tmpl w:val="01B4B7AC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3AEF35AC"/>
    <w:multiLevelType w:val="multilevel"/>
    <w:tmpl w:val="80EA327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3FC1147B"/>
    <w:multiLevelType w:val="hybridMultilevel"/>
    <w:tmpl w:val="EC5AD298"/>
    <w:lvl w:ilvl="0" w:tplc="950EB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67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82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2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87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B0C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2E9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343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0CD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A37A3F"/>
    <w:multiLevelType w:val="hybridMultilevel"/>
    <w:tmpl w:val="1FEE6D9E"/>
    <w:lvl w:ilvl="0" w:tplc="D2D01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EA9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6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3A9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67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C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4A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9A4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60D"/>
    <w:rsid w:val="000B2C40"/>
    <w:rsid w:val="0010762D"/>
    <w:rsid w:val="00117BF4"/>
    <w:rsid w:val="00160AA3"/>
    <w:rsid w:val="003A6BEA"/>
    <w:rsid w:val="003C634F"/>
    <w:rsid w:val="003C71AF"/>
    <w:rsid w:val="00432DE2"/>
    <w:rsid w:val="004F7FE5"/>
    <w:rsid w:val="00686040"/>
    <w:rsid w:val="0077260D"/>
    <w:rsid w:val="00841E68"/>
    <w:rsid w:val="00A55DE1"/>
    <w:rsid w:val="00B23442"/>
    <w:rsid w:val="00BB5173"/>
    <w:rsid w:val="00C12B3E"/>
    <w:rsid w:val="00DC50AD"/>
    <w:rsid w:val="00DF02B3"/>
    <w:rsid w:val="00F02F0E"/>
    <w:rsid w:val="00F42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BEA"/>
    <w:rPr>
      <w:rFonts w:cs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726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1E6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unhideWhenUsed/>
    <w:rsid w:val="00A5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55DE1"/>
    <w:rPr>
      <w:rFonts w:cs="Arial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A5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55DE1"/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F229-782D-41E7-8289-FC629206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Rezumatul Studiului 3 - Priveste-i pe oameni prin ochii lui Isus</vt:lpstr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3 - Priveste-i pe oameni prin ochii lui Isus</dc:title>
  <dc:subject>Studiu Biblic, Trim. III, 2020 – Bucuria misiunii</dc:subject>
  <dc:creator>Sergio Fustero Carreras</dc:creator>
  <cp:keywords>https://www.fustero.es/index_ro.php</cp:keywords>
  <dc:description/>
  <cp:lastModifiedBy>Administrator</cp:lastModifiedBy>
  <cp:revision>4</cp:revision>
  <dcterms:created xsi:type="dcterms:W3CDTF">2020-07-15T19:32:00Z</dcterms:created>
  <dcterms:modified xsi:type="dcterms:W3CDTF">2020-07-16T11:59:00Z</dcterms:modified>
</cp:coreProperties>
</file>