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7" w:rsidRPr="001514E7" w:rsidRDefault="001514E7" w:rsidP="001514E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1514E7">
        <w:rPr>
          <w:bCs/>
          <w:sz w:val="40"/>
          <w:szCs w:val="40"/>
          <w:lang w:val="ro-RO"/>
        </w:rPr>
        <w:t>Rezumatul Studiului 13 - Ascultarea de Cuvântul lui Dumnezeu</w:t>
      </w:r>
      <w:bookmarkEnd w:id="0"/>
      <w:bookmarkEnd w:id="1"/>
    </w:p>
    <w:p w:rsidR="001514E7" w:rsidRPr="001514E7" w:rsidRDefault="001514E7" w:rsidP="001514E7">
      <w:pPr>
        <w:spacing w:after="0" w:line="240" w:lineRule="auto"/>
        <w:jc w:val="both"/>
        <w:rPr>
          <w:bCs/>
          <w:lang w:val="ro-RO"/>
        </w:rPr>
      </w:pPr>
    </w:p>
    <w:p w:rsidR="00C94EDD" w:rsidRPr="001514E7" w:rsidRDefault="00C94EDD" w:rsidP="001514E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 permitem Duhului Sfânt să lucreze.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Filipeni 2:12 ne invită să ne ocupăm de mântuirea noastră. Cum putem face acest lucru?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După Pavel, studiul Cuvântului lui Dumnezeu trebuie să producă schimbări semnificative în via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a noastră (v. 14-16).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Pentru ca aceste schimbări să se realizeze, trebuie să lăsăm Duhul Sfânt să lucreze?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luminează mintea</w:t>
      </w:r>
      <w:r w:rsidR="00C94EDD" w:rsidRPr="001514E7">
        <w:rPr>
          <w:bCs/>
          <w:lang w:val="ro-RO"/>
        </w:rPr>
        <w:t xml:space="preserve"> (</w:t>
      </w:r>
      <w:r w:rsidRPr="001514E7">
        <w:rPr>
          <w:bCs/>
          <w:lang w:val="ro-RO"/>
        </w:rPr>
        <w:t>Ioan 14:26)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conduce la Isus</w:t>
      </w:r>
      <w:r w:rsidR="00C94EDD" w:rsidRPr="001514E7">
        <w:rPr>
          <w:bCs/>
          <w:lang w:val="ro-RO"/>
        </w:rPr>
        <w:t xml:space="preserve"> </w:t>
      </w:r>
      <w:r w:rsidRPr="001514E7">
        <w:rPr>
          <w:bCs/>
          <w:lang w:val="ro-RO"/>
        </w:rPr>
        <w:t>(Ioan 15:26)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ghidează spre adevăr</w:t>
      </w:r>
      <w:r w:rsidR="00C94EDD" w:rsidRPr="001514E7">
        <w:rPr>
          <w:bCs/>
          <w:lang w:val="ro-RO"/>
        </w:rPr>
        <w:t xml:space="preserve"> </w:t>
      </w:r>
      <w:r w:rsidRPr="001514E7">
        <w:rPr>
          <w:bCs/>
          <w:lang w:val="ro-RO"/>
        </w:rPr>
        <w:t>(Ioan 16:13)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dă speran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ă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încredere (Romani 5:5)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aduce bucurie</w:t>
      </w:r>
      <w:r w:rsidR="00C94EDD" w:rsidRPr="001514E7">
        <w:rPr>
          <w:bCs/>
          <w:lang w:val="ro-RO"/>
        </w:rPr>
        <w:t xml:space="preserve"> </w:t>
      </w:r>
      <w:r w:rsidRPr="001514E7">
        <w:rPr>
          <w:bCs/>
          <w:lang w:val="ro-RO"/>
        </w:rPr>
        <w:t>(Romani 14:17)</w:t>
      </w:r>
    </w:p>
    <w:p w:rsidR="002B504F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umple de dragoste</w:t>
      </w:r>
      <w:r w:rsidR="00C94EDD" w:rsidRPr="001514E7">
        <w:rPr>
          <w:bCs/>
          <w:lang w:val="ro-RO"/>
        </w:rPr>
        <w:t xml:space="preserve"> </w:t>
      </w:r>
      <w:r w:rsidRPr="001514E7">
        <w:rPr>
          <w:bCs/>
          <w:lang w:val="ro-RO"/>
        </w:rPr>
        <w:t>(Galateni 5:22)</w:t>
      </w:r>
    </w:p>
    <w:p w:rsidR="00C94EDD" w:rsidRPr="001514E7" w:rsidRDefault="002B504F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duce la ascultare (Filipeni</w:t>
      </w:r>
      <w:r w:rsidR="001514E7">
        <w:rPr>
          <w:bCs/>
          <w:lang w:val="ro-RO"/>
        </w:rPr>
        <w:t xml:space="preserve"> </w:t>
      </w:r>
      <w:r w:rsidRPr="001514E7">
        <w:rPr>
          <w:bCs/>
          <w:lang w:val="ro-RO"/>
        </w:rPr>
        <w:t>2:13)</w:t>
      </w:r>
    </w:p>
    <w:p w:rsidR="00C94EDD" w:rsidRPr="001514E7" w:rsidRDefault="00C94EDD" w:rsidP="001514E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 aplicăm Biblia în via</w:t>
      </w:r>
      <w:r w:rsidR="001514E7">
        <w:rPr>
          <w:b/>
          <w:bCs/>
          <w:lang w:val="ro-RO"/>
        </w:rPr>
        <w:t>ţ</w:t>
      </w:r>
      <w:r w:rsidRPr="001514E7">
        <w:rPr>
          <w:b/>
          <w:bCs/>
          <w:lang w:val="ro-RO"/>
        </w:rPr>
        <w:t>a noastră.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Isus a studiat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interiorizat Scripturile în a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 xml:space="preserve">a fel încât a fost capabil să le folosească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să le aplice corect în diferitele evenimente ale vie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ii sale.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El a folosit Scripturile când a fost ispitit, ca o justificare pentru a alunga negustorii din Templu, ca răspuns la întrebări dificile ...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Cs/>
          <w:lang w:val="ro-RO"/>
        </w:rPr>
        <w:t>În acela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mod, trebuie să aplicăm Biblia atunci când luăm decizii, când ac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ionăm, când interpretăm evenimente, când Îl împărtă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 xml:space="preserve">im </w:t>
      </w:r>
      <w:r w:rsidR="00041B16">
        <w:rPr>
          <w:bCs/>
          <w:lang w:val="ro-RO"/>
        </w:rPr>
        <w:t xml:space="preserve">pe </w:t>
      </w:r>
      <w:r w:rsidRPr="001514E7">
        <w:rPr>
          <w:bCs/>
          <w:lang w:val="ro-RO"/>
        </w:rPr>
        <w:t>Hristos cu al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ii ...</w:t>
      </w:r>
    </w:p>
    <w:p w:rsidR="00C94EDD" w:rsidRPr="001514E7" w:rsidRDefault="00C94EDD" w:rsidP="001514E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 acceptăm întreaga Scriptură.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Departe de a le respinge, ceea ce a făcut Isus a fost să dea un sens mai larg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mai corect acestor păr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i. (Matei 5:38-39).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El însu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a lămurit că nu venise „să schimbe Legea sau profe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ii” (Matei 5:17). Niciodată nu a fost inten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ia Lui să accepte unele păr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i ale Bibliei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să respingă altele.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În mod similar, nimeni nu este împuternicit să decidă ce este inspirat sau util în Biblie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 xml:space="preserve">i ce nu. „Toată Scriptura este insuflată de Dumnezeu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de folos” (2 Timotei 3:16).</w:t>
      </w:r>
    </w:p>
    <w:p w:rsidR="00C94EDD" w:rsidRPr="001514E7" w:rsidRDefault="00C94EDD" w:rsidP="001514E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 interiorizăm Biblia: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Să-i oferim timp.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Trebuie să punem deoparte un timp special pentru a-L căuta pe Isus prin studiul Bibliei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rugăciune.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Nu o lectură rapidă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superficială a Bibliei ne va ajuta să descoperim adevărurile pe care le con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ine. Trebuie să o citim încet, să medităm la ea, să lăsăm Duhul să ne vorbească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</w:t>
      </w:r>
      <w:r w:rsidR="00041B16">
        <w:rPr>
          <w:bCs/>
          <w:lang w:val="ro-RO"/>
        </w:rPr>
        <w:t xml:space="preserve"> </w:t>
      </w:r>
      <w:r w:rsidRPr="001514E7">
        <w:rPr>
          <w:bCs/>
          <w:lang w:val="ro-RO"/>
        </w:rPr>
        <w:t>să ne lumineze.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Agenda noastră ar trebui să includă un timp zilnic pentru studiu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rugăciune. În acest fel, gândurile noastre vor fi conectate la Sursa Vie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ii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Îl vom reflecta pe Isus în via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a noastră.</w:t>
      </w:r>
    </w:p>
    <w:p w:rsidR="00C94EDD" w:rsidRPr="001514E7" w:rsidRDefault="00C94EDD" w:rsidP="001514E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bCs/>
          <w:lang w:val="ro-RO"/>
        </w:rPr>
      </w:pPr>
      <w:r w:rsidRPr="001514E7">
        <w:rPr>
          <w:b/>
          <w:bCs/>
          <w:lang w:val="ro-RO"/>
        </w:rPr>
        <w:t>Să o memorăm.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Ce avantaje avem prin memorarea textelor biblice?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Le putem aplica în diferite circumstan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e.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ajută să luăm decizii.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Influen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ează ceea ce gândim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facem.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îndreaptă gândurile către Dumnezeu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protejează de în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 xml:space="preserve">elăciuni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interpretări false.</w:t>
      </w:r>
    </w:p>
    <w:p w:rsidR="00041B16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Le putem cita la nevoie, chiar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atunci când nu avem o Biblie la îndemână.</w:t>
      </w:r>
    </w:p>
    <w:p w:rsidR="002B504F" w:rsidRPr="001514E7" w:rsidRDefault="002B504F" w:rsidP="001514E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Ne apără de ispite.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>Printre modalită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ile de memorare a Bibliei, învă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 xml:space="preserve">ăturile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pove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tile sale, muzica este, fără îndoială, una dintre cele mai eficiente.</w:t>
      </w:r>
    </w:p>
    <w:p w:rsidR="00C94EDD" w:rsidRPr="001514E7" w:rsidRDefault="00C94EDD" w:rsidP="001514E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Cs/>
          <w:lang w:val="ro-RO"/>
        </w:rPr>
      </w:pPr>
      <w:r w:rsidRPr="001514E7">
        <w:rPr>
          <w:bCs/>
          <w:lang w:val="ro-RO"/>
        </w:rPr>
        <w:t xml:space="preserve">Cântând imnuri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 xml:space="preserve">i cântece spirituale, adevărurile Bibliei devin fixate în mintea noastră. Mai mult, ele sunt o sursă de încurajare </w:t>
      </w:r>
      <w:r w:rsidR="001514E7">
        <w:rPr>
          <w:bCs/>
          <w:lang w:val="ro-RO"/>
        </w:rPr>
        <w:t>ş</w:t>
      </w:r>
      <w:r w:rsidRPr="001514E7">
        <w:rPr>
          <w:bCs/>
          <w:lang w:val="ro-RO"/>
        </w:rPr>
        <w:t>i speran</w:t>
      </w:r>
      <w:r w:rsidR="001514E7">
        <w:rPr>
          <w:bCs/>
          <w:lang w:val="ro-RO"/>
        </w:rPr>
        <w:t>ţ</w:t>
      </w:r>
      <w:r w:rsidRPr="001514E7">
        <w:rPr>
          <w:bCs/>
          <w:lang w:val="ro-RO"/>
        </w:rPr>
        <w:t>ă (Efeseni 5:19).</w:t>
      </w:r>
    </w:p>
    <w:sectPr w:rsidR="00C94EDD" w:rsidRPr="001514E7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37" w:rsidRDefault="00115A37" w:rsidP="001514E7">
      <w:pPr>
        <w:spacing w:after="0" w:line="240" w:lineRule="auto"/>
      </w:pPr>
      <w:r>
        <w:separator/>
      </w:r>
    </w:p>
  </w:endnote>
  <w:endnote w:type="continuationSeparator" w:id="1">
    <w:p w:rsidR="00115A37" w:rsidRDefault="00115A37" w:rsidP="001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E7" w:rsidRPr="001514E7" w:rsidRDefault="001514E7">
    <w:pPr>
      <w:pStyle w:val="Subsol"/>
      <w:rPr>
        <w:i/>
        <w:lang w:val="ro-RO"/>
      </w:rPr>
    </w:pPr>
    <w:r w:rsidRPr="001514E7">
      <w:rPr>
        <w:i/>
        <w:lang w:val="ro-RO"/>
      </w:rPr>
      <w:t>Studiu Biblic, Trim.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37" w:rsidRDefault="00115A37" w:rsidP="001514E7">
      <w:pPr>
        <w:spacing w:after="0" w:line="240" w:lineRule="auto"/>
      </w:pPr>
      <w:r>
        <w:separator/>
      </w:r>
    </w:p>
  </w:footnote>
  <w:footnote w:type="continuationSeparator" w:id="1">
    <w:p w:rsidR="00115A37" w:rsidRDefault="00115A37" w:rsidP="0015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1D"/>
    <w:multiLevelType w:val="hybridMultilevel"/>
    <w:tmpl w:val="8C3A2DEE"/>
    <w:lvl w:ilvl="0" w:tplc="5992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E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6B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4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6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E8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EA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0E6A53"/>
    <w:multiLevelType w:val="hybridMultilevel"/>
    <w:tmpl w:val="8A60EEC8"/>
    <w:lvl w:ilvl="0" w:tplc="3342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0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8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8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C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8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0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9D790D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5C1"/>
    <w:rsid w:val="00041B16"/>
    <w:rsid w:val="000710A9"/>
    <w:rsid w:val="000B2C40"/>
    <w:rsid w:val="00115A37"/>
    <w:rsid w:val="001514E7"/>
    <w:rsid w:val="0023456E"/>
    <w:rsid w:val="002B504F"/>
    <w:rsid w:val="003A6BEA"/>
    <w:rsid w:val="003C71AF"/>
    <w:rsid w:val="006018E0"/>
    <w:rsid w:val="006900CF"/>
    <w:rsid w:val="00731C37"/>
    <w:rsid w:val="009659B2"/>
    <w:rsid w:val="00A715C1"/>
    <w:rsid w:val="00AF2628"/>
    <w:rsid w:val="00B53F6A"/>
    <w:rsid w:val="00C40350"/>
    <w:rsid w:val="00C94EDD"/>
    <w:rsid w:val="00CB0958"/>
    <w:rsid w:val="00E5593F"/>
    <w:rsid w:val="00F61C61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15C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5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514E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5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514E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Ascultarea de Cuvantul lui Dumnezeu</dc:title>
  <dc:subject>Studiu Biblic, Trim. II, 2020 – Cum sa interpretam Scriptura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2020-06-25T13:37:00Z</dcterms:created>
  <dcterms:modified xsi:type="dcterms:W3CDTF">2020-06-26T11:35:00Z</dcterms:modified>
</cp:coreProperties>
</file>