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E" w:rsidRPr="00B9027B" w:rsidRDefault="00B9027B" w:rsidP="00B9027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B9027B">
        <w:rPr>
          <w:bCs/>
          <w:sz w:val="40"/>
          <w:szCs w:val="40"/>
          <w:lang w:val="ro-RO"/>
        </w:rPr>
        <w:t>Rezumatul Studiului 9 - Cartea Geneza şi facerea lumii (II)</w:t>
      </w:r>
      <w:bookmarkEnd w:id="0"/>
      <w:bookmarkEnd w:id="1"/>
    </w:p>
    <w:p w:rsidR="0041203E" w:rsidRPr="0041203E" w:rsidRDefault="0041203E" w:rsidP="0041203E">
      <w:pPr>
        <w:spacing w:after="0" w:line="240" w:lineRule="auto"/>
        <w:jc w:val="both"/>
        <w:rPr>
          <w:bCs/>
          <w:lang w:val="ro-RO"/>
        </w:rPr>
      </w:pPr>
    </w:p>
    <w:p w:rsidR="00D02A70" w:rsidRPr="0041203E" w:rsidRDefault="00D02A70" w:rsidP="0041203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 xml:space="preserve">Geneza </w:t>
      </w:r>
      <w:r w:rsidR="0041203E">
        <w:rPr>
          <w:b/>
          <w:bCs/>
          <w:lang w:val="ro-RO"/>
        </w:rPr>
        <w:t>ş</w:t>
      </w:r>
      <w:r w:rsidRPr="0041203E">
        <w:rPr>
          <w:b/>
          <w:bCs/>
          <w:lang w:val="ro-RO"/>
        </w:rPr>
        <w:t>i păgânismul:</w:t>
      </w:r>
    </w:p>
    <w:p w:rsidR="00D02A70" w:rsidRPr="0041203E" w:rsidRDefault="00D02A70" w:rsidP="004120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>Crea</w:t>
      </w:r>
      <w:r w:rsidR="0041203E">
        <w:rPr>
          <w:b/>
          <w:bCs/>
          <w:lang w:val="ro-RO"/>
        </w:rPr>
        <w:t>ţ</w:t>
      </w:r>
      <w:r w:rsidRPr="0041203E">
        <w:rPr>
          <w:b/>
          <w:bCs/>
          <w:lang w:val="ro-RO"/>
        </w:rPr>
        <w:t>iunea în alte culturi.</w:t>
      </w:r>
    </w:p>
    <w:p w:rsid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>Geneza 1-2 nu sunt singura relatare care există cu privire la crea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iunea omului, ci mai există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altele, precum manuscrisul </w:t>
      </w:r>
      <w:proofErr w:type="spellStart"/>
      <w:r w:rsidRPr="0041203E">
        <w:rPr>
          <w:bCs/>
          <w:i/>
          <w:iCs/>
          <w:lang w:val="ro-RO"/>
        </w:rPr>
        <w:t>Atra-Hasis</w:t>
      </w:r>
      <w:proofErr w:type="spellEnd"/>
      <w:r w:rsidRPr="0041203E">
        <w:rPr>
          <w:bCs/>
          <w:lang w:val="ro-RO"/>
        </w:rPr>
        <w:t xml:space="preserve">, care relatează cum acadienii percepeau crearea omului. Chiar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egiptenii sau grecii aveau propriile lor relatări.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 xml:space="preserve">Toate au elemente asemănătoare cu relatarea din Geneza (de exemplu, utilizarea </w:t>
      </w:r>
      <w:proofErr w:type="spellStart"/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ărânii</w:t>
      </w:r>
      <w:proofErr w:type="spellEnd"/>
      <w:r w:rsidRPr="0041203E">
        <w:rPr>
          <w:bCs/>
          <w:lang w:val="ro-RO"/>
        </w:rPr>
        <w:t xml:space="preserve">) dar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mari diferen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e.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 xml:space="preserve">În relatările </w:t>
      </w:r>
      <w:proofErr w:type="spellStart"/>
      <w:r w:rsidRPr="0041203E">
        <w:rPr>
          <w:bCs/>
          <w:lang w:val="ro-RO"/>
        </w:rPr>
        <w:t>extrabiblice</w:t>
      </w:r>
      <w:proofErr w:type="spellEnd"/>
      <w:r w:rsidRPr="0041203E">
        <w:rPr>
          <w:bCs/>
          <w:lang w:val="ro-RO"/>
        </w:rPr>
        <w:t xml:space="preserve"> omul este creat din egoismul sau rivalitatea dintre zei, reflectând pervertirea idolatrică a relatării originale.</w:t>
      </w:r>
    </w:p>
    <w:p w:rsidR="00D02A70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Cs/>
          <w:lang w:val="ro-RO"/>
        </w:rPr>
        <w:t xml:space="preserve">Doar Geneza prezintă umanitatea ca rezultat al unui act de dragoste din partea </w:t>
      </w:r>
      <w:r w:rsidR="0041203E">
        <w:rPr>
          <w:bCs/>
          <w:lang w:val="ro-RO"/>
        </w:rPr>
        <w:t xml:space="preserve">unui </w:t>
      </w:r>
      <w:r w:rsidRPr="0041203E">
        <w:rPr>
          <w:bCs/>
          <w:lang w:val="ro-RO"/>
        </w:rPr>
        <w:t>Dumnezeu omnipotent, realizat cu un scop lipsit de egoism.</w:t>
      </w:r>
    </w:p>
    <w:p w:rsidR="00D02A70" w:rsidRPr="0041203E" w:rsidRDefault="00D02A70" w:rsidP="004120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>Crea</w:t>
      </w:r>
      <w:r w:rsidR="0041203E">
        <w:rPr>
          <w:b/>
          <w:bCs/>
          <w:lang w:val="ro-RO"/>
        </w:rPr>
        <w:t>ţ</w:t>
      </w:r>
      <w:r w:rsidRPr="0041203E">
        <w:rPr>
          <w:b/>
          <w:bCs/>
          <w:lang w:val="ro-RO"/>
        </w:rPr>
        <w:t xml:space="preserve">iunea </w:t>
      </w:r>
      <w:r w:rsidR="0041203E">
        <w:rPr>
          <w:b/>
          <w:bCs/>
          <w:lang w:val="ro-RO"/>
        </w:rPr>
        <w:t>ş</w:t>
      </w:r>
      <w:r w:rsidRPr="0041203E">
        <w:rPr>
          <w:b/>
          <w:bCs/>
          <w:lang w:val="ro-RO"/>
        </w:rPr>
        <w:t>i idolii.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>De ce nu sunt men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iona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 pe nume nici Soarele, nici Luna?</w:t>
      </w:r>
    </w:p>
    <w:p w:rsid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 xml:space="preserve">În mai multe culturi, Soarele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Luna erau dumnezei care interveneau activ în crearea pământului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a omului. Pentru egipteni, de exemplu, Soarele (Ra) a </w:t>
      </w:r>
      <w:r w:rsidR="0041203E">
        <w:rPr>
          <w:bCs/>
          <w:lang w:val="ro-RO"/>
        </w:rPr>
        <w:t>c</w:t>
      </w:r>
      <w:r w:rsidRPr="0041203E">
        <w:rPr>
          <w:bCs/>
          <w:lang w:val="ro-RO"/>
        </w:rPr>
        <w:t>reat via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a. Din acest motiv, ace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ti a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tri erau adora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 de </w:t>
      </w:r>
      <w:r w:rsidR="0041203E" w:rsidRPr="0041203E">
        <w:rPr>
          <w:bCs/>
          <w:lang w:val="ro-RO"/>
        </w:rPr>
        <w:t>aproape</w:t>
      </w:r>
      <w:r w:rsidRPr="0041203E">
        <w:rPr>
          <w:bCs/>
          <w:lang w:val="ro-RO"/>
        </w:rPr>
        <w:t xml:space="preserve"> toate popoarele din antichitate.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 xml:space="preserve">Pentru a le lua orice putere creatoare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a evita idolatria, Geneza a lăsat clar că ace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tia erau a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tri fără via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ă, crea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 de Dumnezeu cu un rol specific.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Cs/>
          <w:lang w:val="ro-RO"/>
        </w:rPr>
        <w:t>Nu există diver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dumnezei care să intervină în Crea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iune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să merite închinarea noastră. Nu există întâmplare sau capriciu, totul a fost creat cu un scop (Isaia 4:5,18). Numai Dumnezeul creator merită închinarea noastră.</w:t>
      </w:r>
    </w:p>
    <w:p w:rsidR="00D02A70" w:rsidRPr="0041203E" w:rsidRDefault="00D02A70" w:rsidP="0041203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 xml:space="preserve">Geneza </w:t>
      </w:r>
      <w:r w:rsidR="0041203E">
        <w:rPr>
          <w:b/>
          <w:bCs/>
          <w:lang w:val="ro-RO"/>
        </w:rPr>
        <w:t>ş</w:t>
      </w:r>
      <w:r w:rsidRPr="0041203E">
        <w:rPr>
          <w:b/>
          <w:bCs/>
          <w:lang w:val="ro-RO"/>
        </w:rPr>
        <w:t>i pământul:</w:t>
      </w:r>
    </w:p>
    <w:p w:rsidR="00D02A70" w:rsidRPr="0041203E" w:rsidRDefault="00D02A70" w:rsidP="004120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>Un pământ plat?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>Lectura literală a mai multor pasaje a dus mai multe persoane să creadă într-un pământ plat, sus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inut de stâlpi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limitat de patru unghiuri (vezi Apocalipsa 7:1).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 xml:space="preserve">Cu toate că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tim că pământul este circular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rotund, în loc de plat (Pr. 8:27; </w:t>
      </w:r>
      <w:proofErr w:type="spellStart"/>
      <w:r w:rsidRPr="0041203E">
        <w:rPr>
          <w:bCs/>
          <w:lang w:val="ro-RO"/>
        </w:rPr>
        <w:t>Is</w:t>
      </w:r>
      <w:proofErr w:type="spellEnd"/>
      <w:r w:rsidRPr="0041203E">
        <w:rPr>
          <w:bCs/>
          <w:lang w:val="ro-RO"/>
        </w:rPr>
        <w:t>. 40:22), continuăm să vorbim de cele patru puncte cardinale.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Cs/>
          <w:lang w:val="ro-RO"/>
        </w:rPr>
        <w:t xml:space="preserve">Continuăm să vorbim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</w:t>
      </w:r>
      <w:r w:rsidR="0041203E" w:rsidRPr="0041203E">
        <w:rPr>
          <w:bCs/>
          <w:lang w:val="ro-RO"/>
        </w:rPr>
        <w:t>despre</w:t>
      </w:r>
      <w:r w:rsidRPr="0041203E">
        <w:rPr>
          <w:bCs/>
          <w:lang w:val="ro-RO"/>
        </w:rPr>
        <w:t xml:space="preserve"> soarele care răsare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apune, cu toate că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tim că noi suntem aceia </w:t>
      </w:r>
      <w:r w:rsidR="0041203E" w:rsidRPr="0041203E">
        <w:rPr>
          <w:bCs/>
          <w:lang w:val="ro-RO"/>
        </w:rPr>
        <w:t>care</w:t>
      </w:r>
      <w:r w:rsidRPr="0041203E">
        <w:rPr>
          <w:bCs/>
          <w:lang w:val="ro-RO"/>
        </w:rPr>
        <w:t xml:space="preserve"> ne rotim. Nu folosim un limbaj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tiin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ific. În acela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fel, Biblia face descrieri într-un limbaj comun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mai pu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in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tiin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ific.</w:t>
      </w:r>
    </w:p>
    <w:p w:rsidR="00D02A70" w:rsidRPr="0041203E" w:rsidRDefault="00D02A70" w:rsidP="004120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>Un pământ tânăr?</w:t>
      </w:r>
    </w:p>
    <w:p w:rsid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41203E">
        <w:rPr>
          <w:bCs/>
          <w:lang w:val="ro-RO"/>
        </w:rPr>
        <w:t xml:space="preserve">În Geneza 5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11, 1 Cronici 1:1-27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Luca 3:23-38 găsim direc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ii genealogice care cuprind istoria umanită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ii de la Adam până la Avraam. Nu ni se oferă numai nume, ci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vârste. Acestea ne ajută să calculăm timpul care a trecut între personaje.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Cs/>
          <w:lang w:val="ro-RO"/>
        </w:rPr>
        <w:t>Conform tradi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iei iudaice, Crea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iunea a avut loc în anul 3760 î.Hr. În acest fel, anul gregorian 2020, echivalează cu anul evreiesc 5780. Cu toate că această cifră nu este 100% fiabilă, ne dă o idee </w:t>
      </w:r>
      <w:r w:rsidRPr="0041203E">
        <w:rPr>
          <w:bCs/>
          <w:u w:val="single"/>
          <w:lang w:val="ro-RO"/>
        </w:rPr>
        <w:t xml:space="preserve">aproximativă </w:t>
      </w:r>
      <w:r w:rsidRPr="0041203E">
        <w:rPr>
          <w:bCs/>
          <w:lang w:val="ro-RO"/>
        </w:rPr>
        <w:t>cu privire la vârsta pământului.</w:t>
      </w:r>
    </w:p>
    <w:p w:rsidR="00D02A70" w:rsidRPr="0041203E" w:rsidRDefault="00D02A70" w:rsidP="0041203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 xml:space="preserve">Geneza </w:t>
      </w:r>
      <w:r w:rsidR="0041203E">
        <w:rPr>
          <w:b/>
          <w:bCs/>
          <w:lang w:val="ro-RO"/>
        </w:rPr>
        <w:t>ş</w:t>
      </w:r>
      <w:r w:rsidRPr="0041203E">
        <w:rPr>
          <w:b/>
          <w:bCs/>
          <w:lang w:val="ro-RO"/>
        </w:rPr>
        <w:t>i Biblia:</w:t>
      </w:r>
    </w:p>
    <w:p w:rsidR="003C71AF" w:rsidRPr="0041203E" w:rsidRDefault="00162FE4" w:rsidP="004120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41203E">
        <w:rPr>
          <w:b/>
          <w:bCs/>
          <w:lang w:val="ro-RO"/>
        </w:rPr>
        <w:t>Crea</w:t>
      </w:r>
      <w:r w:rsidR="0041203E">
        <w:rPr>
          <w:b/>
          <w:bCs/>
          <w:lang w:val="ro-RO"/>
        </w:rPr>
        <w:t>ţ</w:t>
      </w:r>
      <w:r w:rsidRPr="0041203E">
        <w:rPr>
          <w:b/>
          <w:bCs/>
          <w:lang w:val="ro-RO"/>
        </w:rPr>
        <w:t>iunea în întreaga Biblie</w:t>
      </w:r>
      <w:r w:rsidR="00842705" w:rsidRPr="0041203E">
        <w:rPr>
          <w:b/>
          <w:bCs/>
          <w:lang w:val="ro-RO"/>
        </w:rPr>
        <w:t>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41203E">
        <w:rPr>
          <w:bCs/>
          <w:lang w:val="ro-RO"/>
        </w:rPr>
        <w:t>În Vechiul Testament este men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ionată cu frecven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ă puterea creatoare a lui Dumnezeu. Doar în Isaia găsim mai mult de 10 referin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e directe la Dumnezeu ca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Creator</w:t>
      </w:r>
      <w:r w:rsidR="001D07E4">
        <w:rPr>
          <w:bCs/>
          <w:lang w:val="ro-RO"/>
        </w:rPr>
        <w:t xml:space="preserve"> </w:t>
      </w:r>
      <w:r w:rsidRPr="0041203E">
        <w:rPr>
          <w:bCs/>
          <w:lang w:val="ro-RO"/>
        </w:rPr>
        <w:t>(</w:t>
      </w:r>
      <w:proofErr w:type="spellStart"/>
      <w:r w:rsidRPr="0041203E">
        <w:rPr>
          <w:bCs/>
          <w:lang w:val="ro-RO"/>
        </w:rPr>
        <w:t>Is</w:t>
      </w:r>
      <w:proofErr w:type="spellEnd"/>
      <w:r w:rsidRPr="0041203E">
        <w:rPr>
          <w:bCs/>
          <w:lang w:val="ro-RO"/>
        </w:rPr>
        <w:t>. 42:5; 43:1, 7, 15, 21; 45:8; 54:16, 56:7; 57:16; 65:17, 18).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41203E">
        <w:rPr>
          <w:bCs/>
          <w:lang w:val="ro-RO"/>
        </w:rPr>
        <w:t xml:space="preserve">În Noul Testament, atât Isus, cât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apostolii fac referin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e continue la primele 11 capitole din Geneza (Mat. 19:4-5; Marcu 10:6-9; Luca 11:50-51; Ioan 1:1-3; Fapte 14:15; Ro</w:t>
      </w:r>
      <w:r w:rsidR="001D07E4">
        <w:rPr>
          <w:bCs/>
          <w:lang w:val="ro-RO"/>
        </w:rPr>
        <w:t>m</w:t>
      </w:r>
      <w:r w:rsidRPr="0041203E">
        <w:rPr>
          <w:bCs/>
          <w:lang w:val="ro-RO"/>
        </w:rPr>
        <w:t>. 1:20; 2</w:t>
      </w:r>
      <w:r w:rsidR="001D07E4">
        <w:rPr>
          <w:bCs/>
          <w:lang w:val="ro-RO"/>
        </w:rPr>
        <w:t xml:space="preserve"> </w:t>
      </w:r>
      <w:r w:rsidRPr="0041203E">
        <w:rPr>
          <w:bCs/>
          <w:lang w:val="ro-RO"/>
        </w:rPr>
        <w:t>Co</w:t>
      </w:r>
      <w:r w:rsidR="001D07E4">
        <w:rPr>
          <w:bCs/>
          <w:lang w:val="ro-RO"/>
        </w:rPr>
        <w:t>r</w:t>
      </w:r>
      <w:r w:rsidRPr="0041203E">
        <w:rPr>
          <w:bCs/>
          <w:lang w:val="ro-RO"/>
        </w:rPr>
        <w:t xml:space="preserve">. 4:6; </w:t>
      </w:r>
      <w:proofErr w:type="spellStart"/>
      <w:r w:rsidRPr="0041203E">
        <w:rPr>
          <w:bCs/>
          <w:lang w:val="ro-RO"/>
        </w:rPr>
        <w:t>Ef</w:t>
      </w:r>
      <w:proofErr w:type="spellEnd"/>
      <w:r w:rsidRPr="0041203E">
        <w:rPr>
          <w:bCs/>
          <w:lang w:val="ro-RO"/>
        </w:rPr>
        <w:t>. 3:9; 1</w:t>
      </w:r>
      <w:r w:rsidR="001D07E4">
        <w:rPr>
          <w:bCs/>
          <w:lang w:val="ro-RO"/>
        </w:rPr>
        <w:t xml:space="preserve"> </w:t>
      </w:r>
      <w:r w:rsidRPr="0041203E">
        <w:rPr>
          <w:bCs/>
          <w:lang w:val="ro-RO"/>
        </w:rPr>
        <w:t>Tim. 2:12-15; Iacov 3:9; Iuda</w:t>
      </w:r>
      <w:r w:rsidR="001D07E4">
        <w:rPr>
          <w:bCs/>
          <w:lang w:val="ro-RO"/>
        </w:rPr>
        <w:t xml:space="preserve"> </w:t>
      </w:r>
      <w:r w:rsidRPr="0041203E">
        <w:rPr>
          <w:bCs/>
          <w:lang w:val="ro-RO"/>
        </w:rPr>
        <w:t>11, 14; Ap. 2:7; 3:14; 22:2-3).</w:t>
      </w:r>
    </w:p>
    <w:p w:rsidR="00162FE4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41203E">
        <w:rPr>
          <w:bCs/>
          <w:lang w:val="ro-RO"/>
        </w:rPr>
        <w:t>Referin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>e la Crea</w:t>
      </w:r>
      <w:r w:rsidR="0041203E">
        <w:rPr>
          <w:bCs/>
          <w:lang w:val="ro-RO"/>
        </w:rPr>
        <w:t>ţ</w:t>
      </w:r>
      <w:r w:rsidRPr="0041203E">
        <w:rPr>
          <w:bCs/>
          <w:lang w:val="ro-RO"/>
        </w:rPr>
        <w:t xml:space="preserve">iune sunt utilizate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 ca bază pentru doctrinele importante, precum păcatul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răscumpărarea (Romani 5:12-19).</w:t>
      </w:r>
    </w:p>
    <w:p w:rsidR="00E55A4B" w:rsidRPr="0041203E" w:rsidRDefault="00162FE4" w:rsidP="004120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41203E">
        <w:rPr>
          <w:bCs/>
          <w:lang w:val="ro-RO"/>
        </w:rPr>
        <w:t xml:space="preserve">Fără stâlpul din Geneza, toată Biblia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 xml:space="preserve">i-ar pierde coeziunea </w:t>
      </w:r>
      <w:r w:rsidR="0041203E">
        <w:rPr>
          <w:bCs/>
          <w:lang w:val="ro-RO"/>
        </w:rPr>
        <w:t>ş</w:t>
      </w:r>
      <w:r w:rsidRPr="0041203E">
        <w:rPr>
          <w:bCs/>
          <w:lang w:val="ro-RO"/>
        </w:rPr>
        <w:t>i fiabilitatea.</w:t>
      </w:r>
    </w:p>
    <w:sectPr w:rsidR="00E55A4B" w:rsidRPr="0041203E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7B" w:rsidRDefault="00B9027B" w:rsidP="00B9027B">
      <w:pPr>
        <w:spacing w:after="0" w:line="240" w:lineRule="auto"/>
      </w:pPr>
      <w:r>
        <w:separator/>
      </w:r>
    </w:p>
  </w:endnote>
  <w:endnote w:type="continuationSeparator" w:id="1">
    <w:p w:rsidR="00B9027B" w:rsidRDefault="00B9027B" w:rsidP="00B9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7B" w:rsidRPr="00B9027B" w:rsidRDefault="00B9027B">
    <w:pPr>
      <w:pStyle w:val="Subsol"/>
      <w:rPr>
        <w:i/>
        <w:lang w:val="ro-RO"/>
      </w:rPr>
    </w:pPr>
    <w:r w:rsidRPr="00B9027B">
      <w:rPr>
        <w:i/>
        <w:lang w:val="ro-RO"/>
      </w:rPr>
      <w:t xml:space="preserve">Studiu Biblic, </w:t>
    </w:r>
    <w:proofErr w:type="spellStart"/>
    <w:r w:rsidRPr="00B9027B">
      <w:rPr>
        <w:i/>
        <w:lang w:val="ro-RO"/>
      </w:rPr>
      <w:t>Trim</w:t>
    </w:r>
    <w:proofErr w:type="spellEnd"/>
    <w:r w:rsidRPr="00B9027B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7B" w:rsidRDefault="00B9027B" w:rsidP="00B9027B">
      <w:pPr>
        <w:spacing w:after="0" w:line="240" w:lineRule="auto"/>
      </w:pPr>
      <w:r>
        <w:separator/>
      </w:r>
    </w:p>
  </w:footnote>
  <w:footnote w:type="continuationSeparator" w:id="1">
    <w:p w:rsidR="00B9027B" w:rsidRDefault="00B9027B" w:rsidP="00B9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AB0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705"/>
    <w:rsid w:val="0006551F"/>
    <w:rsid w:val="000B2C40"/>
    <w:rsid w:val="000D231C"/>
    <w:rsid w:val="00162FE4"/>
    <w:rsid w:val="001D07E4"/>
    <w:rsid w:val="00296111"/>
    <w:rsid w:val="003A6BEA"/>
    <w:rsid w:val="003C71AF"/>
    <w:rsid w:val="003D3B40"/>
    <w:rsid w:val="0041203E"/>
    <w:rsid w:val="004777A5"/>
    <w:rsid w:val="005C61E7"/>
    <w:rsid w:val="006211EB"/>
    <w:rsid w:val="00842705"/>
    <w:rsid w:val="008E6E11"/>
    <w:rsid w:val="00917BE3"/>
    <w:rsid w:val="00A22A82"/>
    <w:rsid w:val="00A6302E"/>
    <w:rsid w:val="00AF4856"/>
    <w:rsid w:val="00B9027B"/>
    <w:rsid w:val="00D02A70"/>
    <w:rsid w:val="00D81D58"/>
    <w:rsid w:val="00E17BF3"/>
    <w:rsid w:val="00E25610"/>
    <w:rsid w:val="00E55A4B"/>
    <w:rsid w:val="00E6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270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9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9027B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9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9027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Cartea Geneza si facerea lumii (II)</dc:title>
  <dc:subject>Studiu Biblic, Trim. II, 2020 – Cum sa interpretam Scriptura</dc:subject>
  <dc:creator>Sergio Fustero Carreras</dc:creator>
  <cp:keywords>https://www.fustero.es/index_ro.php</cp:keywords>
  <dc:description/>
  <cp:lastModifiedBy>isj</cp:lastModifiedBy>
  <cp:revision>5</cp:revision>
  <dcterms:created xsi:type="dcterms:W3CDTF">2020-05-25T14:42:00Z</dcterms:created>
  <dcterms:modified xsi:type="dcterms:W3CDTF">2020-05-26T11:00:00Z</dcterms:modified>
</cp:coreProperties>
</file>