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F8" w:rsidRPr="00A732F8" w:rsidRDefault="00A732F8" w:rsidP="00A732F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A732F8">
        <w:rPr>
          <w:bCs/>
          <w:sz w:val="40"/>
          <w:szCs w:val="40"/>
          <w:lang w:val="ro-RO"/>
        </w:rPr>
        <w:t>Rezumatul Studiului 13 - „Iată, Eu fac toate lucrurile noi”</w:t>
      </w:r>
    </w:p>
    <w:p w:rsidR="00A732F8" w:rsidRPr="00A732F8" w:rsidRDefault="00A732F8" w:rsidP="00A732F8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B51FB2" w:rsidRPr="00A732F8" w:rsidRDefault="00B51FB2" w:rsidP="00A732F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32F8">
        <w:rPr>
          <w:b/>
          <w:bCs/>
          <w:sz w:val="28"/>
          <w:szCs w:val="24"/>
          <w:lang w:val="ro-RO"/>
        </w:rPr>
        <w:t>Invita</w:t>
      </w:r>
      <w:r w:rsidR="00A732F8">
        <w:rPr>
          <w:b/>
          <w:bCs/>
          <w:sz w:val="28"/>
          <w:szCs w:val="24"/>
          <w:lang w:val="ro-RO"/>
        </w:rPr>
        <w:t>ţ</w:t>
      </w:r>
      <w:r w:rsidRPr="00A732F8">
        <w:rPr>
          <w:b/>
          <w:bCs/>
          <w:sz w:val="28"/>
          <w:szCs w:val="24"/>
          <w:lang w:val="ro-RO"/>
        </w:rPr>
        <w:t>ia la ospă</w:t>
      </w:r>
      <w:r w:rsidR="00A732F8">
        <w:rPr>
          <w:b/>
          <w:bCs/>
          <w:sz w:val="28"/>
          <w:szCs w:val="24"/>
          <w:lang w:val="ro-RO"/>
        </w:rPr>
        <w:t>ţ</w:t>
      </w:r>
      <w:r w:rsidRPr="00A732F8">
        <w:rPr>
          <w:b/>
          <w:bCs/>
          <w:sz w:val="28"/>
          <w:szCs w:val="24"/>
          <w:lang w:val="ro-RO"/>
        </w:rPr>
        <w:t>ul nun</w:t>
      </w:r>
      <w:r w:rsidR="00A732F8">
        <w:rPr>
          <w:b/>
          <w:bCs/>
          <w:sz w:val="28"/>
          <w:szCs w:val="24"/>
          <w:lang w:val="ro-RO"/>
        </w:rPr>
        <w:t>ţ</w:t>
      </w:r>
      <w:r w:rsidRPr="00A732F8">
        <w:rPr>
          <w:b/>
          <w:bCs/>
          <w:sz w:val="28"/>
          <w:szCs w:val="24"/>
          <w:lang w:val="ro-RO"/>
        </w:rPr>
        <w:t>ii . Apocalipsa</w:t>
      </w:r>
      <w:r w:rsidR="00A732F8">
        <w:rPr>
          <w:b/>
          <w:bCs/>
          <w:sz w:val="28"/>
          <w:szCs w:val="24"/>
          <w:lang w:val="ro-RO"/>
        </w:rPr>
        <w:t xml:space="preserve"> </w:t>
      </w:r>
      <w:r w:rsidRPr="00A732F8">
        <w:rPr>
          <w:b/>
          <w:bCs/>
          <w:sz w:val="28"/>
          <w:szCs w:val="24"/>
          <w:lang w:val="ro-RO"/>
        </w:rPr>
        <w:t>19:1-10</w:t>
      </w:r>
    </w:p>
    <w:p w:rsidR="00167949" w:rsidRPr="00A732F8" w:rsidRDefault="00167949" w:rsidP="00A732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Apocalipsa 6:10 lasă o întrebare fără răspuns. Apocalipsa 19:2, răspunde.</w:t>
      </w:r>
    </w:p>
    <w:p w:rsidR="00167949" w:rsidRPr="00A732F8" w:rsidRDefault="00167949" w:rsidP="00A732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Odată cu împlinirea judecă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ii, Mielul î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i ia în primire so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ia care este împodobită în „in sub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 xml:space="preserve">ire, strălucitor 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i curat. (Inul sub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ire sunt faptele neprihănite ale sfin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ilor.)” (v.</w:t>
      </w:r>
      <w:r w:rsidR="00A732F8">
        <w:rPr>
          <w:bCs/>
          <w:sz w:val="28"/>
          <w:szCs w:val="24"/>
          <w:lang w:val="ro-RO"/>
        </w:rPr>
        <w:t xml:space="preserve"> </w:t>
      </w:r>
      <w:r w:rsidRPr="00A732F8">
        <w:rPr>
          <w:bCs/>
          <w:sz w:val="28"/>
          <w:szCs w:val="24"/>
          <w:lang w:val="ro-RO"/>
        </w:rPr>
        <w:t>8). În Biblie, un ora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 xml:space="preserve"> este adesea folosit ca o reprezentare a locuitorilor săi (Luca 13:34).</w:t>
      </w:r>
    </w:p>
    <w:p w:rsidR="00167949" w:rsidRPr="00A732F8" w:rsidRDefault="00167949" w:rsidP="00A732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Sfin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ii sunt îmbrăca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 în neprihănirea lui Isus. Ace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tia sunt invita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 la un ospă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 xml:space="preserve"> de nuntă. Ei sunt cei ce împodobesc Noul Ierusalim – mireasa Mielului – cu prezen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a lor (Apoc. 21:9-10).</w:t>
      </w:r>
    </w:p>
    <w:p w:rsidR="00B51FB2" w:rsidRPr="00A732F8" w:rsidRDefault="00B51FB2" w:rsidP="00A732F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32F8">
        <w:rPr>
          <w:b/>
          <w:bCs/>
          <w:sz w:val="28"/>
          <w:szCs w:val="24"/>
          <w:lang w:val="ro-RO"/>
        </w:rPr>
        <w:t xml:space="preserve"> A doua venire. Apocalipsa 19:11-21</w:t>
      </w:r>
    </w:p>
    <w:p w:rsidR="00167949" w:rsidRPr="00A732F8" w:rsidRDefault="00167949" w:rsidP="00A732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 xml:space="preserve">Apostolul Ioan a observat o reprezentare atipică a Celei de-a Doua Veniri: un cal alb; Isus în haine înmuiate în sânge 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i urmat de îngeri călări pe cai. El este identificat după două nume: „CUVÂNTUL LUI DUMNEZEU”, respectiv „ÎMPĂRATUL ÎMPĂRA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 xml:space="preserve">ILOR 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 xml:space="preserve">I DOMNUL DOMNILOR” (v. 13 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i 16)</w:t>
      </w:r>
    </w:p>
    <w:p w:rsidR="00167949" w:rsidRPr="00A732F8" w:rsidRDefault="00167949" w:rsidP="00A732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 xml:space="preserve">Isus l-a biruit pe Satana în Cer, în pustie 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 xml:space="preserve">i la cruce. De asemenea El îl va învinge pe Satan 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i adep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ii lui din nou.</w:t>
      </w:r>
    </w:p>
    <w:p w:rsidR="00167949" w:rsidRPr="00A732F8" w:rsidRDefault="00167949" w:rsidP="00A732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Zicala – hrană pentru păsări – întruchipează momentul în care Isus „îl va prăpădi [pe cel nelegiuit] cu arătarea venirii Sale.” (2 Tesaloniceni 2:8).</w:t>
      </w:r>
    </w:p>
    <w:p w:rsidR="00B51FB2" w:rsidRPr="00A732F8" w:rsidRDefault="00B51FB2" w:rsidP="00A732F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32F8">
        <w:rPr>
          <w:b/>
          <w:bCs/>
          <w:sz w:val="28"/>
          <w:szCs w:val="24"/>
          <w:lang w:val="ro-RO"/>
        </w:rPr>
        <w:t>Mileniul. Apocalipsa 20</w:t>
      </w:r>
    </w:p>
    <w:p w:rsidR="00167949" w:rsidRPr="00A732F8" w:rsidRDefault="00167949" w:rsidP="00A732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Ce se va întâmpla în timpul mileniului?</w:t>
      </w:r>
    </w:p>
    <w:p w:rsidR="00167949" w:rsidRPr="00A732F8" w:rsidRDefault="00167949" w:rsidP="00A732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Pământul va fi pustiit (Ieremia 4:23-27; Isaia 6:11; Isaia 24:3)</w:t>
      </w:r>
    </w:p>
    <w:p w:rsidR="00167949" w:rsidRPr="00A732F8" w:rsidRDefault="00167949" w:rsidP="00A732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 xml:space="preserve">Satana 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i îngerii lui vor fi lega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 (nu vor mai putea amăgi pe nimeni; v. 3)</w:t>
      </w:r>
    </w:p>
    <w:p w:rsidR="00167949" w:rsidRPr="00A732F8" w:rsidRDefault="00167949" w:rsidP="00A732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Cei neprihăni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 xml:space="preserve">i vor domni cu Hristos în Ceruri (v. </w:t>
      </w:r>
      <w:proofErr w:type="spellStart"/>
      <w:r w:rsidRPr="00A732F8">
        <w:rPr>
          <w:bCs/>
          <w:sz w:val="28"/>
          <w:szCs w:val="24"/>
          <w:lang w:val="ro-RO"/>
        </w:rPr>
        <w:t>4b</w:t>
      </w:r>
      <w:proofErr w:type="spellEnd"/>
      <w:r w:rsidRPr="00A732F8">
        <w:rPr>
          <w:bCs/>
          <w:sz w:val="28"/>
          <w:szCs w:val="24"/>
          <w:lang w:val="ro-RO"/>
        </w:rPr>
        <w:t>)</w:t>
      </w:r>
    </w:p>
    <w:p w:rsidR="00167949" w:rsidRPr="00A732F8" w:rsidRDefault="00167949" w:rsidP="00A732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Cei răscumpăra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 xml:space="preserve">i vor judeca îngerii 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 xml:space="preserve">i oamenii (v. </w:t>
      </w:r>
      <w:proofErr w:type="spellStart"/>
      <w:r w:rsidRPr="00A732F8">
        <w:rPr>
          <w:bCs/>
          <w:sz w:val="28"/>
          <w:szCs w:val="24"/>
          <w:lang w:val="ro-RO"/>
        </w:rPr>
        <w:t>4a</w:t>
      </w:r>
      <w:proofErr w:type="spellEnd"/>
      <w:r w:rsidRPr="00A732F8">
        <w:rPr>
          <w:bCs/>
          <w:sz w:val="28"/>
          <w:szCs w:val="24"/>
          <w:lang w:val="ro-RO"/>
        </w:rPr>
        <w:t>; D</w:t>
      </w:r>
      <w:r w:rsidR="00A732F8">
        <w:rPr>
          <w:bCs/>
          <w:sz w:val="28"/>
          <w:szCs w:val="24"/>
          <w:lang w:val="ro-RO"/>
        </w:rPr>
        <w:t>a</w:t>
      </w:r>
      <w:r w:rsidRPr="00A732F8">
        <w:rPr>
          <w:bCs/>
          <w:sz w:val="28"/>
          <w:szCs w:val="24"/>
          <w:lang w:val="ro-RO"/>
        </w:rPr>
        <w:t>n</w:t>
      </w:r>
      <w:r w:rsidR="00A732F8">
        <w:rPr>
          <w:bCs/>
          <w:sz w:val="28"/>
          <w:szCs w:val="24"/>
          <w:lang w:val="ro-RO"/>
        </w:rPr>
        <w:t>iel</w:t>
      </w:r>
      <w:r w:rsidRPr="00A732F8">
        <w:rPr>
          <w:bCs/>
          <w:sz w:val="28"/>
          <w:szCs w:val="24"/>
          <w:lang w:val="ro-RO"/>
        </w:rPr>
        <w:t>. 7:22; 1</w:t>
      </w:r>
      <w:r w:rsidR="00A732F8">
        <w:rPr>
          <w:bCs/>
          <w:sz w:val="28"/>
          <w:szCs w:val="24"/>
          <w:lang w:val="ro-RO"/>
        </w:rPr>
        <w:t xml:space="preserve"> </w:t>
      </w:r>
      <w:r w:rsidRPr="00A732F8">
        <w:rPr>
          <w:bCs/>
          <w:sz w:val="28"/>
          <w:szCs w:val="24"/>
          <w:lang w:val="ro-RO"/>
        </w:rPr>
        <w:t>Co</w:t>
      </w:r>
      <w:r w:rsidR="00A732F8">
        <w:rPr>
          <w:bCs/>
          <w:sz w:val="28"/>
          <w:szCs w:val="24"/>
          <w:lang w:val="ro-RO"/>
        </w:rPr>
        <w:t>r</w:t>
      </w:r>
      <w:r w:rsidRPr="00A732F8">
        <w:rPr>
          <w:bCs/>
          <w:sz w:val="28"/>
          <w:szCs w:val="24"/>
          <w:lang w:val="ro-RO"/>
        </w:rPr>
        <w:t>. 6:3)</w:t>
      </w:r>
    </w:p>
    <w:p w:rsidR="00167949" w:rsidRPr="00A732F8" w:rsidRDefault="00167949" w:rsidP="00A732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A doua înviere (to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 cei nelegiui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i; v. 5-6, 12)</w:t>
      </w:r>
    </w:p>
    <w:p w:rsidR="00167949" w:rsidRPr="00A732F8" w:rsidRDefault="00167949" w:rsidP="00A732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Satana va fi dezlegat, căci va putea amăgi din nou (v. 7)</w:t>
      </w:r>
    </w:p>
    <w:p w:rsidR="00167949" w:rsidRPr="00A732F8" w:rsidRDefault="00167949" w:rsidP="00A732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Noul Ierusalim va coborî din Ceruri (Apoc. 21:2)</w:t>
      </w:r>
    </w:p>
    <w:p w:rsidR="00167949" w:rsidRPr="00A732F8" w:rsidRDefault="00167949" w:rsidP="00A732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Satana îi va aduna pe to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 cei învia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 din mor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 xml:space="preserve">i 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i va ataca Ierusalimul (v. 8-9)</w:t>
      </w:r>
    </w:p>
    <w:p w:rsidR="00167949" w:rsidRPr="00A732F8" w:rsidRDefault="00167949" w:rsidP="00A732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Cei nelegiui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 vor fi judeca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 (v. 11-13)</w:t>
      </w:r>
    </w:p>
    <w:p w:rsidR="00167949" w:rsidRPr="00A732F8" w:rsidRDefault="00167949" w:rsidP="00A732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Orice genunchi se va pleca înaintea lui Hristos (Filipeni 2:10-11)</w:t>
      </w:r>
    </w:p>
    <w:p w:rsidR="00167949" w:rsidRPr="00A732F8" w:rsidRDefault="00167949" w:rsidP="00A732F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 xml:space="preserve">Satana 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i cei condamna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>i vor fi distru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i în foc (v. 9-10, 14-15)</w:t>
      </w:r>
    </w:p>
    <w:p w:rsidR="00B51FB2" w:rsidRPr="00A732F8" w:rsidRDefault="00B51FB2" w:rsidP="00A732F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32F8">
        <w:rPr>
          <w:b/>
          <w:bCs/>
          <w:sz w:val="28"/>
          <w:szCs w:val="24"/>
          <w:lang w:val="ro-RO"/>
        </w:rPr>
        <w:t>Noua crea</w:t>
      </w:r>
      <w:r w:rsidR="00A732F8">
        <w:rPr>
          <w:b/>
          <w:bCs/>
          <w:sz w:val="28"/>
          <w:szCs w:val="24"/>
          <w:lang w:val="ro-RO"/>
        </w:rPr>
        <w:t>ţ</w:t>
      </w:r>
      <w:r w:rsidRPr="00A732F8">
        <w:rPr>
          <w:b/>
          <w:bCs/>
          <w:sz w:val="28"/>
          <w:szCs w:val="24"/>
          <w:lang w:val="ro-RO"/>
        </w:rPr>
        <w:t>ie. Apocalipsa 21:1-8</w:t>
      </w:r>
    </w:p>
    <w:p w:rsidR="00167949" w:rsidRPr="00A732F8" w:rsidRDefault="00167949" w:rsidP="00A732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 xml:space="preserve">Apostolului Ioan i-a fost arătat Noul Pământ. El a văzut ce va fi 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i ce nu va fi acolo.</w:t>
      </w:r>
    </w:p>
    <w:p w:rsidR="00167949" w:rsidRPr="00A732F8" w:rsidRDefault="00665AEE" w:rsidP="00A732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732F8">
        <w:rPr>
          <w:sz w:val="28"/>
          <w:szCs w:val="24"/>
          <w:lang w:val="ro-RO"/>
        </w:rPr>
        <w:t xml:space="preserve">În final, </w:t>
      </w:r>
      <w:r w:rsidRPr="00A732F8">
        <w:rPr>
          <w:bCs/>
          <w:sz w:val="28"/>
          <w:lang w:val="ro-RO"/>
        </w:rPr>
        <w:t xml:space="preserve">toate întrebările despre dreptatea lui </w:t>
      </w:r>
      <w:r w:rsidR="00A732F8" w:rsidRPr="00A732F8">
        <w:rPr>
          <w:bCs/>
          <w:sz w:val="28"/>
          <w:lang w:val="ro-RO"/>
        </w:rPr>
        <w:t>Dumnezeu</w:t>
      </w:r>
      <w:r w:rsidRPr="00A732F8">
        <w:rPr>
          <w:bCs/>
          <w:sz w:val="28"/>
          <w:lang w:val="ro-RO"/>
        </w:rPr>
        <w:t xml:space="preserve"> vor găsi răspuns, iar durerea de a fi despăr</w:t>
      </w:r>
      <w:r w:rsidR="00A732F8">
        <w:rPr>
          <w:bCs/>
          <w:sz w:val="28"/>
          <w:lang w:val="ro-RO"/>
        </w:rPr>
        <w:t>ţ</w:t>
      </w:r>
      <w:r w:rsidRPr="00A732F8">
        <w:rPr>
          <w:bCs/>
          <w:sz w:val="28"/>
          <w:lang w:val="ro-RO"/>
        </w:rPr>
        <w:t>i</w:t>
      </w:r>
      <w:r w:rsidR="00A732F8">
        <w:rPr>
          <w:bCs/>
          <w:sz w:val="28"/>
          <w:lang w:val="ro-RO"/>
        </w:rPr>
        <w:t>ţ</w:t>
      </w:r>
      <w:r w:rsidRPr="00A732F8">
        <w:rPr>
          <w:bCs/>
          <w:sz w:val="28"/>
          <w:lang w:val="ro-RO"/>
        </w:rPr>
        <w:t>i de cei dragi va sfâr</w:t>
      </w:r>
      <w:r w:rsidR="00A732F8">
        <w:rPr>
          <w:bCs/>
          <w:sz w:val="28"/>
          <w:lang w:val="ro-RO"/>
        </w:rPr>
        <w:t>ş</w:t>
      </w:r>
      <w:r w:rsidRPr="00A732F8">
        <w:rPr>
          <w:bCs/>
          <w:sz w:val="28"/>
          <w:lang w:val="ro-RO"/>
        </w:rPr>
        <w:t>i. Fericirea va domni pentru totdeauna.</w:t>
      </w:r>
    </w:p>
    <w:p w:rsidR="00434833" w:rsidRPr="00A732F8" w:rsidRDefault="00B51FB2" w:rsidP="00A732F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bookmarkStart w:id="0" w:name="_GoBack"/>
      <w:r w:rsidRPr="00A732F8">
        <w:rPr>
          <w:b/>
          <w:bCs/>
          <w:sz w:val="28"/>
          <w:szCs w:val="24"/>
          <w:lang w:val="ro-RO"/>
        </w:rPr>
        <w:t>Noul Ierusalim. Apocalipsa 21:9-22:5</w:t>
      </w:r>
    </w:p>
    <w:bookmarkEnd w:id="0"/>
    <w:p w:rsidR="00A732F8" w:rsidRDefault="00665AEE" w:rsidP="00A732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De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i descrierea Noului Ierusalim din Apocalipsa este simbolică, cetatea va fi ora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 xml:space="preserve"> adevărat.</w:t>
      </w:r>
    </w:p>
    <w:p w:rsidR="00665AEE" w:rsidRPr="00A732F8" w:rsidRDefault="00665AEE" w:rsidP="00A732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 xml:space="preserve">Cetatea are formă cubică, precum Locul Preasfânt din Templu, indicând faptul că </w:t>
      </w:r>
      <w:r w:rsidR="00DA15CE" w:rsidRPr="00A732F8">
        <w:rPr>
          <w:bCs/>
          <w:sz w:val="28"/>
          <w:szCs w:val="24"/>
          <w:lang w:val="ro-RO"/>
        </w:rPr>
        <w:t>va fi locuită de Dumnezeu Însu</w:t>
      </w:r>
      <w:r w:rsidR="00A732F8">
        <w:rPr>
          <w:bCs/>
          <w:sz w:val="28"/>
          <w:szCs w:val="24"/>
          <w:lang w:val="ro-RO"/>
        </w:rPr>
        <w:t>ş</w:t>
      </w:r>
      <w:r w:rsidR="00DA15CE" w:rsidRPr="00A732F8">
        <w:rPr>
          <w:bCs/>
          <w:sz w:val="28"/>
          <w:szCs w:val="24"/>
          <w:lang w:val="ro-RO"/>
        </w:rPr>
        <w:t>i</w:t>
      </w:r>
      <w:r w:rsidRPr="00A732F8">
        <w:rPr>
          <w:bCs/>
          <w:sz w:val="28"/>
          <w:szCs w:val="24"/>
          <w:lang w:val="ro-RO"/>
        </w:rPr>
        <w:t xml:space="preserve"> Apoc. 22:3-4).</w:t>
      </w:r>
    </w:p>
    <w:p w:rsidR="009B54D4" w:rsidRPr="00A732F8" w:rsidRDefault="00665AEE" w:rsidP="00A732F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732F8">
        <w:rPr>
          <w:bCs/>
          <w:sz w:val="28"/>
          <w:szCs w:val="24"/>
          <w:lang w:val="ro-RO"/>
        </w:rPr>
        <w:t>Ne vom aduna în fiecare lună să mâncăm din Pomul Vie</w:t>
      </w:r>
      <w:r w:rsidR="00A732F8">
        <w:rPr>
          <w:bCs/>
          <w:sz w:val="28"/>
          <w:szCs w:val="24"/>
          <w:lang w:val="ro-RO"/>
        </w:rPr>
        <w:t>ţ</w:t>
      </w:r>
      <w:r w:rsidRPr="00A732F8">
        <w:rPr>
          <w:bCs/>
          <w:sz w:val="28"/>
          <w:szCs w:val="24"/>
          <w:lang w:val="ro-RO"/>
        </w:rPr>
        <w:t xml:space="preserve">ii. De asemenea, ne vom închina împreuna înaintea Tatălui, a Fiului </w:t>
      </w:r>
      <w:r w:rsidR="00A732F8">
        <w:rPr>
          <w:bCs/>
          <w:sz w:val="28"/>
          <w:szCs w:val="24"/>
          <w:lang w:val="ro-RO"/>
        </w:rPr>
        <w:t>ş</w:t>
      </w:r>
      <w:r w:rsidRPr="00A732F8">
        <w:rPr>
          <w:bCs/>
          <w:sz w:val="28"/>
          <w:szCs w:val="24"/>
          <w:lang w:val="ro-RO"/>
        </w:rPr>
        <w:t>i a Duhului Sfânt în fiecare Sabat (</w:t>
      </w:r>
      <w:proofErr w:type="spellStart"/>
      <w:r w:rsidRPr="00A732F8">
        <w:rPr>
          <w:bCs/>
          <w:sz w:val="28"/>
          <w:szCs w:val="24"/>
          <w:lang w:val="ro-RO"/>
        </w:rPr>
        <w:t>Is</w:t>
      </w:r>
      <w:proofErr w:type="spellEnd"/>
      <w:r w:rsidRPr="00A732F8">
        <w:rPr>
          <w:bCs/>
          <w:sz w:val="28"/>
          <w:szCs w:val="24"/>
          <w:lang w:val="ro-RO"/>
        </w:rPr>
        <w:t>. 66:23).</w:t>
      </w:r>
    </w:p>
    <w:sectPr w:rsidR="009B54D4" w:rsidRPr="00A732F8" w:rsidSect="00A20D58">
      <w:footerReference w:type="default" r:id="rId8"/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9C" w:rsidRDefault="002F129C" w:rsidP="00193341">
      <w:pPr>
        <w:spacing w:after="0" w:line="240" w:lineRule="auto"/>
      </w:pPr>
      <w:r>
        <w:separator/>
      </w:r>
    </w:p>
  </w:endnote>
  <w:endnote w:type="continuationSeparator" w:id="0">
    <w:p w:rsidR="002F129C" w:rsidRDefault="002F129C" w:rsidP="0019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41" w:rsidRPr="00193341" w:rsidRDefault="00193341">
    <w:pPr>
      <w:pStyle w:val="Subsol"/>
      <w:rPr>
        <w:i/>
        <w:lang w:val="ro-RO"/>
      </w:rPr>
    </w:pPr>
    <w:r w:rsidRPr="00193341">
      <w:rPr>
        <w:i/>
        <w:lang w:val="ro-RO"/>
      </w:rPr>
      <w:t xml:space="preserve">Studiu Biblic, </w:t>
    </w:r>
    <w:proofErr w:type="spellStart"/>
    <w:r w:rsidRPr="00193341">
      <w:rPr>
        <w:i/>
        <w:lang w:val="ro-RO"/>
      </w:rPr>
      <w:t>Trim</w:t>
    </w:r>
    <w:proofErr w:type="spellEnd"/>
    <w:r w:rsidRPr="00193341">
      <w:rPr>
        <w:i/>
        <w:lang w:val="ro-RO"/>
      </w:rPr>
      <w:t>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9C" w:rsidRDefault="002F129C" w:rsidP="00193341">
      <w:pPr>
        <w:spacing w:after="0" w:line="240" w:lineRule="auto"/>
      </w:pPr>
      <w:r>
        <w:separator/>
      </w:r>
    </w:p>
  </w:footnote>
  <w:footnote w:type="continuationSeparator" w:id="0">
    <w:p w:rsidR="002F129C" w:rsidRDefault="002F129C" w:rsidP="0019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7FA9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FFF58FF"/>
    <w:multiLevelType w:val="hybridMultilevel"/>
    <w:tmpl w:val="0166F5D6"/>
    <w:lvl w:ilvl="0" w:tplc="AFE0A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68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0C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2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47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487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EC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85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41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FBE"/>
    <w:rsid w:val="00167949"/>
    <w:rsid w:val="00193341"/>
    <w:rsid w:val="002F129C"/>
    <w:rsid w:val="00434833"/>
    <w:rsid w:val="004E2D5C"/>
    <w:rsid w:val="00665AEE"/>
    <w:rsid w:val="006F0C02"/>
    <w:rsid w:val="006F6D57"/>
    <w:rsid w:val="00815146"/>
    <w:rsid w:val="00953FBE"/>
    <w:rsid w:val="009B54D4"/>
    <w:rsid w:val="00A147EA"/>
    <w:rsid w:val="00A20D58"/>
    <w:rsid w:val="00A42E43"/>
    <w:rsid w:val="00A732F8"/>
    <w:rsid w:val="00AD6E26"/>
    <w:rsid w:val="00B51FB2"/>
    <w:rsid w:val="00B866EC"/>
    <w:rsid w:val="00DA15CE"/>
    <w:rsid w:val="00DD54C7"/>
    <w:rsid w:val="00E5647B"/>
    <w:rsid w:val="00EF35B1"/>
    <w:rsid w:val="00EF6586"/>
    <w:rsid w:val="00F1088A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5C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53F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19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93341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19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93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C6663-5CDB-4844-89DA-DDF1AFB1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Iata, Eu fac toate lucrurile noi</dc:title>
  <dc:subject>Studiu Biblic, Trim. I, 2019 – Cartea Apocalipsa</dc:subject>
  <dc:creator>Sergio Fustero Carreras</dc:creator>
  <cp:keywords>https://www.fustero.es/index_ro.php</cp:keywords>
  <dc:description/>
  <cp:lastModifiedBy>Tronaru Viorel</cp:lastModifiedBy>
  <cp:revision>5</cp:revision>
  <dcterms:created xsi:type="dcterms:W3CDTF">2019-03-28T14:45:00Z</dcterms:created>
  <dcterms:modified xsi:type="dcterms:W3CDTF">2019-03-29T21:15:00Z</dcterms:modified>
</cp:coreProperties>
</file>