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57" w:rsidRPr="000F4357" w:rsidRDefault="000F4357" w:rsidP="000F4357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0F4357">
        <w:rPr>
          <w:bCs/>
          <w:sz w:val="40"/>
          <w:szCs w:val="40"/>
          <w:lang w:val="ro-RO"/>
        </w:rPr>
        <w:t>Rezumatul Studiului 12 - Judecarea Babilonului</w:t>
      </w:r>
      <w:bookmarkEnd w:id="0"/>
      <w:bookmarkEnd w:id="1"/>
    </w:p>
    <w:p w:rsidR="000F4357" w:rsidRPr="000F4357" w:rsidRDefault="000F4357" w:rsidP="000F4357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4C7ADE" w:rsidRPr="000F4357" w:rsidRDefault="004C7ADE" w:rsidP="000F435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0F4357">
        <w:rPr>
          <w:b/>
          <w:bCs/>
          <w:sz w:val="26"/>
          <w:szCs w:val="26"/>
          <w:lang w:val="ro-RO"/>
        </w:rPr>
        <w:t xml:space="preserve">Babilonia </w:t>
      </w:r>
      <w:r w:rsidR="000F4357">
        <w:rPr>
          <w:b/>
          <w:bCs/>
          <w:sz w:val="26"/>
          <w:szCs w:val="26"/>
          <w:lang w:val="ro-RO"/>
        </w:rPr>
        <w:t>ş</w:t>
      </w:r>
      <w:r w:rsidRPr="000F4357">
        <w:rPr>
          <w:b/>
          <w:bCs/>
          <w:sz w:val="26"/>
          <w:szCs w:val="26"/>
          <w:lang w:val="ro-RO"/>
        </w:rPr>
        <w:t>i alia</w:t>
      </w:r>
      <w:r w:rsidR="000F4357">
        <w:rPr>
          <w:b/>
          <w:bCs/>
          <w:sz w:val="26"/>
          <w:szCs w:val="26"/>
          <w:lang w:val="ro-RO"/>
        </w:rPr>
        <w:t>ţ</w:t>
      </w:r>
      <w:r w:rsidRPr="000F4357">
        <w:rPr>
          <w:b/>
          <w:bCs/>
          <w:sz w:val="26"/>
          <w:szCs w:val="26"/>
          <w:lang w:val="ro-RO"/>
        </w:rPr>
        <w:t>ii săi. Apocalipsa 17:1-2.</w:t>
      </w:r>
    </w:p>
    <w:p w:rsidR="00F500F2" w:rsidRDefault="004C7ADE" w:rsidP="000F435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F4357">
        <w:rPr>
          <w:bCs/>
          <w:sz w:val="26"/>
          <w:szCs w:val="26"/>
          <w:lang w:val="ro-RO"/>
        </w:rPr>
        <w:t xml:space="preserve">La fel ca femeia din Apocalipsa 12 reprezintă biserica lui Dumnezeu pură 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 xml:space="preserve">i credincioasă, Babilonia reprezintă biserica apostată 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>i necredincioasă din timpul sfâr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>itului. Această biserică, este în realitate, uniunea mai multor biserici.</w:t>
      </w:r>
    </w:p>
    <w:p w:rsidR="004C7ADE" w:rsidRPr="000F4357" w:rsidRDefault="004C7ADE" w:rsidP="000F435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0F4357">
        <w:rPr>
          <w:bCs/>
          <w:sz w:val="26"/>
          <w:szCs w:val="26"/>
          <w:lang w:val="ro-RO"/>
        </w:rPr>
        <w:t xml:space="preserve">Conform cu versetele 1, 2 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>i 15, sunt mul</w:t>
      </w:r>
      <w:r w:rsidR="000F4357">
        <w:rPr>
          <w:bCs/>
          <w:sz w:val="26"/>
          <w:szCs w:val="26"/>
          <w:lang w:val="ro-RO"/>
        </w:rPr>
        <w:t>ţ</w:t>
      </w:r>
      <w:r w:rsidRPr="000F4357">
        <w:rPr>
          <w:bCs/>
          <w:sz w:val="26"/>
          <w:szCs w:val="26"/>
          <w:lang w:val="ro-RO"/>
        </w:rPr>
        <w:t>imi împăr</w:t>
      </w:r>
      <w:r w:rsidR="000F4357">
        <w:rPr>
          <w:bCs/>
          <w:sz w:val="26"/>
          <w:szCs w:val="26"/>
          <w:lang w:val="ro-RO"/>
        </w:rPr>
        <w:t>ţ</w:t>
      </w:r>
      <w:r w:rsidRPr="000F4357">
        <w:rPr>
          <w:bCs/>
          <w:sz w:val="26"/>
          <w:szCs w:val="26"/>
          <w:lang w:val="ro-RO"/>
        </w:rPr>
        <w:t>ite în două grupuri:</w:t>
      </w:r>
    </w:p>
    <w:p w:rsidR="00292240" w:rsidRPr="000F4357" w:rsidRDefault="00292240" w:rsidP="000F435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0F4357">
        <w:rPr>
          <w:bCs/>
          <w:i/>
          <w:iCs/>
          <w:sz w:val="26"/>
          <w:szCs w:val="26"/>
          <w:u w:val="single"/>
          <w:lang w:val="ro-RO"/>
        </w:rPr>
        <w:t>Împăra</w:t>
      </w:r>
      <w:r w:rsidR="000F4357">
        <w:rPr>
          <w:bCs/>
          <w:i/>
          <w:iCs/>
          <w:sz w:val="26"/>
          <w:szCs w:val="26"/>
          <w:u w:val="single"/>
          <w:lang w:val="ro-RO"/>
        </w:rPr>
        <w:t>ţ</w:t>
      </w:r>
      <w:r w:rsidRPr="000F4357">
        <w:rPr>
          <w:bCs/>
          <w:i/>
          <w:iCs/>
          <w:sz w:val="26"/>
          <w:szCs w:val="26"/>
          <w:u w:val="single"/>
          <w:lang w:val="ro-RO"/>
        </w:rPr>
        <w:t>ii pământului</w:t>
      </w:r>
      <w:r w:rsidRPr="000F4357">
        <w:rPr>
          <w:bCs/>
          <w:sz w:val="26"/>
          <w:szCs w:val="26"/>
          <w:lang w:val="ro-RO"/>
        </w:rPr>
        <w:t xml:space="preserve">. Conducătorii politici care </w:t>
      </w:r>
      <w:r w:rsidR="000F4357" w:rsidRPr="000F4357">
        <w:rPr>
          <w:bCs/>
          <w:sz w:val="26"/>
          <w:szCs w:val="26"/>
          <w:lang w:val="ro-RO"/>
        </w:rPr>
        <w:t>sprijină</w:t>
      </w:r>
      <w:r w:rsidRPr="000F4357">
        <w:rPr>
          <w:bCs/>
          <w:sz w:val="26"/>
          <w:szCs w:val="26"/>
          <w:lang w:val="ro-RO"/>
        </w:rPr>
        <w:t xml:space="preserve">  Babilonia cu legi politico-religioase.</w:t>
      </w:r>
    </w:p>
    <w:p w:rsidR="00F500F2" w:rsidRDefault="00292240" w:rsidP="000F435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F4357">
        <w:rPr>
          <w:bCs/>
          <w:i/>
          <w:iCs/>
          <w:sz w:val="26"/>
          <w:szCs w:val="26"/>
          <w:u w:val="single"/>
          <w:lang w:val="ro-RO"/>
        </w:rPr>
        <w:t>Locuitorii pământului</w:t>
      </w:r>
      <w:r w:rsidRPr="000F4357">
        <w:rPr>
          <w:bCs/>
          <w:sz w:val="26"/>
          <w:szCs w:val="26"/>
          <w:lang w:val="ro-RO"/>
        </w:rPr>
        <w:t>. To</w:t>
      </w:r>
      <w:r w:rsidR="000F4357">
        <w:rPr>
          <w:bCs/>
          <w:sz w:val="26"/>
          <w:szCs w:val="26"/>
          <w:lang w:val="ro-RO"/>
        </w:rPr>
        <w:t>ţ</w:t>
      </w:r>
      <w:r w:rsidRPr="000F4357">
        <w:rPr>
          <w:bCs/>
          <w:sz w:val="26"/>
          <w:szCs w:val="26"/>
          <w:lang w:val="ro-RO"/>
        </w:rPr>
        <w:t>i cei care, ame</w:t>
      </w:r>
      <w:r w:rsidR="000F4357">
        <w:rPr>
          <w:bCs/>
          <w:sz w:val="26"/>
          <w:szCs w:val="26"/>
          <w:lang w:val="ro-RO"/>
        </w:rPr>
        <w:t>ţ</w:t>
      </w:r>
      <w:r w:rsidRPr="000F4357">
        <w:rPr>
          <w:bCs/>
          <w:sz w:val="26"/>
          <w:szCs w:val="26"/>
          <w:lang w:val="ro-RO"/>
        </w:rPr>
        <w:t>i</w:t>
      </w:r>
      <w:r w:rsidR="000F4357">
        <w:rPr>
          <w:bCs/>
          <w:sz w:val="26"/>
          <w:szCs w:val="26"/>
          <w:lang w:val="ro-RO"/>
        </w:rPr>
        <w:t>ţ</w:t>
      </w:r>
      <w:r w:rsidRPr="000F4357">
        <w:rPr>
          <w:bCs/>
          <w:sz w:val="26"/>
          <w:szCs w:val="26"/>
          <w:lang w:val="ro-RO"/>
        </w:rPr>
        <w:t>i de învă</w:t>
      </w:r>
      <w:r w:rsidR="000F4357">
        <w:rPr>
          <w:bCs/>
          <w:sz w:val="26"/>
          <w:szCs w:val="26"/>
          <w:lang w:val="ro-RO"/>
        </w:rPr>
        <w:t>ţ</w:t>
      </w:r>
      <w:r w:rsidRPr="000F4357">
        <w:rPr>
          <w:bCs/>
          <w:sz w:val="26"/>
          <w:szCs w:val="26"/>
          <w:lang w:val="ro-RO"/>
        </w:rPr>
        <w:t xml:space="preserve">ăturile false ale Babiloniei, se închină fiarei 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>i chipului ei.</w:t>
      </w:r>
    </w:p>
    <w:p w:rsidR="004C7ADE" w:rsidRPr="000F4357" w:rsidRDefault="004C7ADE" w:rsidP="000F435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0F4357">
        <w:rPr>
          <w:b/>
          <w:bCs/>
          <w:sz w:val="26"/>
          <w:szCs w:val="26"/>
          <w:lang w:val="ro-RO"/>
        </w:rPr>
        <w:t xml:space="preserve">Babilonia </w:t>
      </w:r>
      <w:r w:rsidR="000F4357">
        <w:rPr>
          <w:b/>
          <w:bCs/>
          <w:sz w:val="26"/>
          <w:szCs w:val="26"/>
          <w:lang w:val="ro-RO"/>
        </w:rPr>
        <w:t>ş</w:t>
      </w:r>
      <w:r w:rsidRPr="000F4357">
        <w:rPr>
          <w:b/>
          <w:bCs/>
          <w:sz w:val="26"/>
          <w:szCs w:val="26"/>
          <w:lang w:val="ro-RO"/>
        </w:rPr>
        <w:t>i fiara stacojie. Apocalipsa 17:3-7.</w:t>
      </w:r>
    </w:p>
    <w:p w:rsidR="004C7ADE" w:rsidRPr="000F4357" w:rsidRDefault="004C7ADE" w:rsidP="000F435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0F4357">
        <w:rPr>
          <w:bCs/>
          <w:sz w:val="26"/>
          <w:szCs w:val="26"/>
          <w:lang w:val="ro-RO"/>
        </w:rPr>
        <w:t>În timp ce Babilonia reprezintă o putere religioasă, fiara reprezintă puterile politice.</w:t>
      </w:r>
    </w:p>
    <w:p w:rsidR="00F500F2" w:rsidRDefault="004C7ADE" w:rsidP="000F435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F4357">
        <w:rPr>
          <w:bCs/>
          <w:sz w:val="26"/>
          <w:szCs w:val="26"/>
          <w:lang w:val="ro-RO"/>
        </w:rPr>
        <w:t>Contrar celor întâmplate în trecut, în timpul sfâr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 xml:space="preserve">itului, puterile politice 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>i cele religioase vor fi clar diferen</w:t>
      </w:r>
      <w:r w:rsidR="000F4357">
        <w:rPr>
          <w:bCs/>
          <w:sz w:val="26"/>
          <w:szCs w:val="26"/>
          <w:lang w:val="ro-RO"/>
        </w:rPr>
        <w:t>ţ</w:t>
      </w:r>
      <w:r w:rsidRPr="000F4357">
        <w:rPr>
          <w:bCs/>
          <w:sz w:val="26"/>
          <w:szCs w:val="26"/>
          <w:lang w:val="ro-RO"/>
        </w:rPr>
        <w:t>iate.</w:t>
      </w:r>
    </w:p>
    <w:p w:rsidR="004C7ADE" w:rsidRPr="000F4357" w:rsidRDefault="004C7ADE" w:rsidP="000F435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0F4357">
        <w:rPr>
          <w:b/>
          <w:bCs/>
          <w:sz w:val="26"/>
          <w:szCs w:val="26"/>
          <w:lang w:val="ro-RO"/>
        </w:rPr>
        <w:t>Fiara stacojie:</w:t>
      </w:r>
    </w:p>
    <w:p w:rsidR="004C7ADE" w:rsidRPr="000F4357" w:rsidRDefault="004C7ADE" w:rsidP="000F435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0F4357">
        <w:rPr>
          <w:bCs/>
          <w:sz w:val="26"/>
          <w:szCs w:val="26"/>
          <w:lang w:val="ro-RO"/>
        </w:rPr>
        <w:t xml:space="preserve">Era, nu mai e 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>i are să revină. Apocalipsa 17:8.</w:t>
      </w:r>
    </w:p>
    <w:p w:rsidR="00F500F2" w:rsidRDefault="004C7ADE" w:rsidP="000F4357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F4357">
        <w:rPr>
          <w:bCs/>
          <w:sz w:val="26"/>
          <w:szCs w:val="26"/>
          <w:lang w:val="ro-RO"/>
        </w:rPr>
        <w:t xml:space="preserve">Această fiară, ca 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 xml:space="preserve">i balaurul 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 xml:space="preserve">i fiara din mare, are 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 xml:space="preserve">apte capete 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>i zece coarne. Satana este în spatele acestei fiare, identificată mai apoi prin toate puterile politice care vor asupri poporul lui Dumnezeu.</w:t>
      </w:r>
    </w:p>
    <w:p w:rsidR="004C7ADE" w:rsidRPr="000F4357" w:rsidRDefault="004C7ADE" w:rsidP="000F435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0F4357">
        <w:rPr>
          <w:bCs/>
          <w:sz w:val="26"/>
          <w:szCs w:val="26"/>
          <w:lang w:val="ro-RO"/>
        </w:rPr>
        <w:t>De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 xml:space="preserve">i pretind a fi egale lui Dumnezeu </w:t>
      </w:r>
      <w:r w:rsidR="000F4357">
        <w:rPr>
          <w:bCs/>
          <w:sz w:val="26"/>
          <w:szCs w:val="26"/>
          <w:lang w:val="ro-RO"/>
        </w:rPr>
        <w:t>„</w:t>
      </w:r>
      <w:r w:rsidRPr="000F4357">
        <w:rPr>
          <w:bCs/>
          <w:sz w:val="26"/>
          <w:szCs w:val="26"/>
          <w:lang w:val="ro-RO"/>
        </w:rPr>
        <w:t xml:space="preserve">Cel ce este, Cel ce era 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>i Cel ce are să vină” (Ap. 1:8), se manifestă astfel:</w:t>
      </w:r>
    </w:p>
    <w:p w:rsidR="00292240" w:rsidRPr="000F4357" w:rsidRDefault="000F4357" w:rsidP="000F4357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„</w:t>
      </w:r>
      <w:r w:rsidR="00292240" w:rsidRPr="000F4357">
        <w:rPr>
          <w:bCs/>
          <w:sz w:val="26"/>
          <w:szCs w:val="26"/>
          <w:lang w:val="ro-RO"/>
        </w:rPr>
        <w:t xml:space="preserve">Era”. Include capetele care au fost </w:t>
      </w:r>
      <w:r>
        <w:rPr>
          <w:bCs/>
          <w:sz w:val="26"/>
          <w:szCs w:val="26"/>
          <w:lang w:val="ro-RO"/>
        </w:rPr>
        <w:t>ş</w:t>
      </w:r>
      <w:r w:rsidR="00292240" w:rsidRPr="000F4357">
        <w:rPr>
          <w:bCs/>
          <w:sz w:val="26"/>
          <w:szCs w:val="26"/>
          <w:lang w:val="ro-RO"/>
        </w:rPr>
        <w:t>i sunt din timpul lui Ioan, adică, până în 1798.</w:t>
      </w:r>
    </w:p>
    <w:p w:rsidR="00292240" w:rsidRPr="000F4357" w:rsidRDefault="000F4357" w:rsidP="000F4357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„</w:t>
      </w:r>
      <w:r w:rsidR="00292240" w:rsidRPr="000F4357">
        <w:rPr>
          <w:bCs/>
          <w:sz w:val="26"/>
          <w:szCs w:val="26"/>
          <w:lang w:val="ro-RO"/>
        </w:rPr>
        <w:t>Nu mai e”. Prime</w:t>
      </w:r>
      <w:r>
        <w:rPr>
          <w:bCs/>
          <w:sz w:val="26"/>
          <w:szCs w:val="26"/>
          <w:lang w:val="ro-RO"/>
        </w:rPr>
        <w:t>ş</w:t>
      </w:r>
      <w:r w:rsidR="00292240" w:rsidRPr="000F4357">
        <w:rPr>
          <w:bCs/>
          <w:sz w:val="26"/>
          <w:szCs w:val="26"/>
          <w:lang w:val="ro-RO"/>
        </w:rPr>
        <w:t>te o rană de moarte.</w:t>
      </w:r>
    </w:p>
    <w:p w:rsidR="004C7ADE" w:rsidRPr="000F4357" w:rsidRDefault="000F4357" w:rsidP="000F435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„</w:t>
      </w:r>
      <w:r w:rsidR="00292240" w:rsidRPr="000F4357">
        <w:rPr>
          <w:bCs/>
          <w:sz w:val="26"/>
          <w:szCs w:val="26"/>
          <w:lang w:val="ro-RO"/>
        </w:rPr>
        <w:t>Are să se ridice”. Î</w:t>
      </w:r>
      <w:r>
        <w:rPr>
          <w:bCs/>
          <w:sz w:val="26"/>
          <w:szCs w:val="26"/>
          <w:lang w:val="ro-RO"/>
        </w:rPr>
        <w:t>ş</w:t>
      </w:r>
      <w:r w:rsidR="00292240" w:rsidRPr="000F4357">
        <w:rPr>
          <w:bCs/>
          <w:sz w:val="26"/>
          <w:szCs w:val="26"/>
          <w:lang w:val="ro-RO"/>
        </w:rPr>
        <w:t>i va recupera din nou puterea.</w:t>
      </w:r>
    </w:p>
    <w:p w:rsidR="004C7ADE" w:rsidRPr="000F4357" w:rsidRDefault="004C7ADE" w:rsidP="000F435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0F4357">
        <w:rPr>
          <w:b/>
          <w:bCs/>
          <w:sz w:val="26"/>
          <w:szCs w:val="26"/>
          <w:lang w:val="ro-RO"/>
        </w:rPr>
        <w:t xml:space="preserve">Cele </w:t>
      </w:r>
      <w:r w:rsidR="000F4357">
        <w:rPr>
          <w:b/>
          <w:bCs/>
          <w:sz w:val="26"/>
          <w:szCs w:val="26"/>
          <w:lang w:val="ro-RO"/>
        </w:rPr>
        <w:t>ş</w:t>
      </w:r>
      <w:r w:rsidRPr="000F4357">
        <w:rPr>
          <w:b/>
          <w:bCs/>
          <w:sz w:val="26"/>
          <w:szCs w:val="26"/>
          <w:lang w:val="ro-RO"/>
        </w:rPr>
        <w:t>apte capete. Apocalipsa 17:9-11.</w:t>
      </w:r>
    </w:p>
    <w:p w:rsidR="004C7ADE" w:rsidRPr="000F4357" w:rsidRDefault="004C7ADE" w:rsidP="000F435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0F4357">
        <w:rPr>
          <w:bCs/>
          <w:sz w:val="26"/>
          <w:szCs w:val="26"/>
          <w:lang w:val="ro-RO"/>
        </w:rPr>
        <w:t>Cu toate că este asociată ini</w:t>
      </w:r>
      <w:r w:rsidR="000F4357">
        <w:rPr>
          <w:bCs/>
          <w:sz w:val="26"/>
          <w:szCs w:val="26"/>
          <w:lang w:val="ro-RO"/>
        </w:rPr>
        <w:t>ţ</w:t>
      </w:r>
      <w:r w:rsidRPr="000F4357">
        <w:rPr>
          <w:bCs/>
          <w:sz w:val="26"/>
          <w:szCs w:val="26"/>
          <w:lang w:val="ro-RO"/>
        </w:rPr>
        <w:t>ial fiara cu Roma, ora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 xml:space="preserve">ul celor 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>apte mun</w:t>
      </w:r>
      <w:r w:rsidR="000F4357">
        <w:rPr>
          <w:bCs/>
          <w:sz w:val="26"/>
          <w:szCs w:val="26"/>
          <w:lang w:val="ro-RO"/>
        </w:rPr>
        <w:t>ţ</w:t>
      </w:r>
      <w:r w:rsidRPr="000F4357">
        <w:rPr>
          <w:bCs/>
          <w:sz w:val="26"/>
          <w:szCs w:val="26"/>
          <w:lang w:val="ro-RO"/>
        </w:rPr>
        <w:t>i (v. 9), se adaugă o a doua interpretare (v. 10).</w:t>
      </w:r>
    </w:p>
    <w:p w:rsidR="004C7ADE" w:rsidRPr="000F4357" w:rsidRDefault="004C7ADE" w:rsidP="000F435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0F4357">
        <w:rPr>
          <w:bCs/>
          <w:sz w:val="26"/>
          <w:szCs w:val="26"/>
          <w:lang w:val="ro-RO"/>
        </w:rPr>
        <w:t xml:space="preserve">Al 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 xml:space="preserve">aselea </w:t>
      </w:r>
      <w:r w:rsidR="000F4357">
        <w:rPr>
          <w:bCs/>
          <w:sz w:val="26"/>
          <w:szCs w:val="26"/>
          <w:lang w:val="ro-RO"/>
        </w:rPr>
        <w:t>„</w:t>
      </w:r>
      <w:r w:rsidRPr="000F4357">
        <w:rPr>
          <w:bCs/>
          <w:sz w:val="26"/>
          <w:szCs w:val="26"/>
          <w:lang w:val="ro-RO"/>
        </w:rPr>
        <w:t xml:space="preserve">împărat”, care </w:t>
      </w:r>
      <w:r w:rsidR="000F4357">
        <w:rPr>
          <w:bCs/>
          <w:sz w:val="26"/>
          <w:szCs w:val="26"/>
          <w:lang w:val="ro-RO"/>
        </w:rPr>
        <w:t>„</w:t>
      </w:r>
      <w:r w:rsidRPr="000F4357">
        <w:rPr>
          <w:bCs/>
          <w:sz w:val="26"/>
          <w:szCs w:val="26"/>
          <w:lang w:val="ro-RO"/>
        </w:rPr>
        <w:t xml:space="preserve">este”, este Roma (a patra fiară din Daniel 7 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>i cornul din Daniel 8).</w:t>
      </w:r>
    </w:p>
    <w:p w:rsidR="004C7ADE" w:rsidRPr="000F4357" w:rsidRDefault="004C7ADE" w:rsidP="000F435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0F4357">
        <w:rPr>
          <w:bCs/>
          <w:sz w:val="26"/>
          <w:szCs w:val="26"/>
          <w:lang w:val="ro-RO"/>
        </w:rPr>
        <w:t>A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 xml:space="preserve">adar, cei cinci care </w:t>
      </w:r>
      <w:r w:rsidR="000F4357">
        <w:rPr>
          <w:bCs/>
          <w:sz w:val="26"/>
          <w:szCs w:val="26"/>
          <w:lang w:val="ro-RO"/>
        </w:rPr>
        <w:t>„</w:t>
      </w:r>
      <w:r w:rsidRPr="000F4357">
        <w:rPr>
          <w:bCs/>
          <w:sz w:val="26"/>
          <w:szCs w:val="26"/>
          <w:lang w:val="ro-RO"/>
        </w:rPr>
        <w:t xml:space="preserve">au căzut” sunt Egipt (primul imperiu care a </w:t>
      </w:r>
      <w:r w:rsidR="000F4357" w:rsidRPr="000F4357">
        <w:rPr>
          <w:bCs/>
          <w:sz w:val="26"/>
          <w:szCs w:val="26"/>
          <w:lang w:val="ro-RO"/>
        </w:rPr>
        <w:t>asuprit</w:t>
      </w:r>
      <w:r w:rsidRPr="000F4357">
        <w:rPr>
          <w:bCs/>
          <w:sz w:val="26"/>
          <w:szCs w:val="26"/>
          <w:lang w:val="ro-RO"/>
        </w:rPr>
        <w:t xml:space="preserve"> poporul lui Dumnezeu), Asiria, Babilonia, Medopersia 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>i Grecia.</w:t>
      </w:r>
    </w:p>
    <w:p w:rsidR="004C7ADE" w:rsidRPr="000F4357" w:rsidRDefault="004C7ADE" w:rsidP="000F435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0F4357">
        <w:rPr>
          <w:bCs/>
          <w:sz w:val="26"/>
          <w:szCs w:val="26"/>
          <w:lang w:val="ro-RO"/>
        </w:rPr>
        <w:t>Fiara înse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>i (papalitatea, s-a recuperat de boala de moarte) este al optulea împărat.</w:t>
      </w:r>
    </w:p>
    <w:p w:rsidR="004C7ADE" w:rsidRPr="000F4357" w:rsidRDefault="004C7ADE" w:rsidP="000F435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0F4357">
        <w:rPr>
          <w:b/>
          <w:bCs/>
          <w:sz w:val="26"/>
          <w:szCs w:val="26"/>
          <w:lang w:val="ro-RO"/>
        </w:rPr>
        <w:t>Cele zece coarne. Apocalipsa 17:12-18.</w:t>
      </w:r>
    </w:p>
    <w:p w:rsidR="004C7ADE" w:rsidRPr="000F4357" w:rsidRDefault="004C7ADE" w:rsidP="000F435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0F4357">
        <w:rPr>
          <w:bCs/>
          <w:sz w:val="26"/>
          <w:szCs w:val="26"/>
          <w:lang w:val="ro-RO"/>
        </w:rPr>
        <w:t xml:space="preserve">Aceste coarne apar în contextul căderii Babiloniei 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>i joacă un rol important în aceasta (v. 16-17). A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>adar, trebuie să le situăm în perioada plăgilor. Sunt identificate clar drept împăra</w:t>
      </w:r>
      <w:r w:rsidR="000F4357">
        <w:rPr>
          <w:bCs/>
          <w:sz w:val="26"/>
          <w:szCs w:val="26"/>
          <w:lang w:val="ro-RO"/>
        </w:rPr>
        <w:t>ţ</w:t>
      </w:r>
      <w:r w:rsidRPr="000F4357">
        <w:rPr>
          <w:bCs/>
          <w:sz w:val="26"/>
          <w:szCs w:val="26"/>
          <w:lang w:val="ro-RO"/>
        </w:rPr>
        <w:t>ii pământului (v. 18).</w:t>
      </w:r>
    </w:p>
    <w:p w:rsidR="004C7ADE" w:rsidRPr="000F4357" w:rsidRDefault="004C7ADE" w:rsidP="000F435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0F4357">
        <w:rPr>
          <w:bCs/>
          <w:sz w:val="26"/>
          <w:szCs w:val="26"/>
          <w:lang w:val="ro-RO"/>
        </w:rPr>
        <w:t>De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>i ini</w:t>
      </w:r>
      <w:r w:rsidR="000F4357">
        <w:rPr>
          <w:bCs/>
          <w:sz w:val="26"/>
          <w:szCs w:val="26"/>
          <w:lang w:val="ro-RO"/>
        </w:rPr>
        <w:t>ţ</w:t>
      </w:r>
      <w:r w:rsidRPr="000F4357">
        <w:rPr>
          <w:bCs/>
          <w:sz w:val="26"/>
          <w:szCs w:val="26"/>
          <w:lang w:val="ro-RO"/>
        </w:rPr>
        <w:t xml:space="preserve">ial sprijină Babilonia în lupta sa împotriva poporului lui Dumnezeu, în timpul plăgii a 5-a 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>i a 6-a ajung să o dispre</w:t>
      </w:r>
      <w:r w:rsidR="000F4357">
        <w:rPr>
          <w:bCs/>
          <w:sz w:val="26"/>
          <w:szCs w:val="26"/>
          <w:lang w:val="ro-RO"/>
        </w:rPr>
        <w:t>ţ</w:t>
      </w:r>
      <w:r w:rsidRPr="000F4357">
        <w:rPr>
          <w:bCs/>
          <w:sz w:val="26"/>
          <w:szCs w:val="26"/>
          <w:lang w:val="ro-RO"/>
        </w:rPr>
        <w:t xml:space="preserve">uiască 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>i o abandonează (v. 16).</w:t>
      </w:r>
    </w:p>
    <w:p w:rsidR="004C7ADE" w:rsidRPr="000F4357" w:rsidRDefault="004C7ADE" w:rsidP="000F435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0F4357">
        <w:rPr>
          <w:bCs/>
          <w:sz w:val="26"/>
          <w:szCs w:val="26"/>
          <w:lang w:val="ro-RO"/>
        </w:rPr>
        <w:t>Dar cele trei puteri satanice vor reu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 xml:space="preserve">i să îi convingă din nou să lupte împotriva lui Hristos 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>i a poporului Său (v. 17).</w:t>
      </w:r>
    </w:p>
    <w:p w:rsidR="00EF6586" w:rsidRPr="000F4357" w:rsidRDefault="004C7ADE" w:rsidP="000F435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bookmarkStart w:id="2" w:name="_GoBack"/>
      <w:r w:rsidRPr="000F4357">
        <w:rPr>
          <w:b/>
          <w:bCs/>
          <w:sz w:val="26"/>
          <w:szCs w:val="26"/>
          <w:lang w:val="ro-RO"/>
        </w:rPr>
        <w:t>Victoria lui Hristos. Apocalipsa 17:14.</w:t>
      </w:r>
    </w:p>
    <w:bookmarkEnd w:id="2"/>
    <w:p w:rsidR="004C7ADE" w:rsidRPr="000F4357" w:rsidRDefault="004C7ADE" w:rsidP="000F435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0F4357">
        <w:rPr>
          <w:bCs/>
          <w:sz w:val="26"/>
          <w:szCs w:val="26"/>
          <w:lang w:val="ro-RO"/>
        </w:rPr>
        <w:t xml:space="preserve">Cei care vor accepta mesajul 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>i vor rămâne de partea lui Hristos sunt chema</w:t>
      </w:r>
      <w:r w:rsidR="000F4357">
        <w:rPr>
          <w:bCs/>
          <w:sz w:val="26"/>
          <w:szCs w:val="26"/>
          <w:lang w:val="ro-RO"/>
        </w:rPr>
        <w:t>ţ</w:t>
      </w:r>
      <w:r w:rsidRPr="000F4357">
        <w:rPr>
          <w:bCs/>
          <w:sz w:val="26"/>
          <w:szCs w:val="26"/>
          <w:lang w:val="ro-RO"/>
        </w:rPr>
        <w:t xml:space="preserve">i 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>i ale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 xml:space="preserve">i 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>i credincio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>i.</w:t>
      </w:r>
    </w:p>
    <w:p w:rsidR="004C7ADE" w:rsidRPr="000F4357" w:rsidRDefault="004C7ADE" w:rsidP="000F435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0F4357">
        <w:rPr>
          <w:bCs/>
          <w:sz w:val="26"/>
          <w:szCs w:val="26"/>
          <w:lang w:val="ro-RO"/>
        </w:rPr>
        <w:t>Victoria noastră este asigurată pentru că Mielul luptă pentru noi.</w:t>
      </w:r>
    </w:p>
    <w:p w:rsidR="00C15045" w:rsidRPr="000F4357" w:rsidRDefault="004C7ADE" w:rsidP="000F435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0F4357">
        <w:rPr>
          <w:bCs/>
          <w:sz w:val="26"/>
          <w:szCs w:val="26"/>
          <w:lang w:val="ro-RO"/>
        </w:rPr>
        <w:t>Ce ar trebui să ne spună aceasta despre importan</w:t>
      </w:r>
      <w:r w:rsidR="000F4357">
        <w:rPr>
          <w:bCs/>
          <w:sz w:val="26"/>
          <w:szCs w:val="26"/>
          <w:lang w:val="ro-RO"/>
        </w:rPr>
        <w:t>ţ</w:t>
      </w:r>
      <w:r w:rsidRPr="000F4357">
        <w:rPr>
          <w:bCs/>
          <w:sz w:val="26"/>
          <w:szCs w:val="26"/>
          <w:lang w:val="ro-RO"/>
        </w:rPr>
        <w:t>a de a rămâne credincio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 xml:space="preserve">i </w:t>
      </w:r>
      <w:r w:rsidR="000F4357">
        <w:rPr>
          <w:bCs/>
          <w:sz w:val="26"/>
          <w:szCs w:val="26"/>
          <w:lang w:val="ro-RO"/>
        </w:rPr>
        <w:t>ş</w:t>
      </w:r>
      <w:r w:rsidRPr="000F4357">
        <w:rPr>
          <w:bCs/>
          <w:sz w:val="26"/>
          <w:szCs w:val="26"/>
          <w:lang w:val="ro-RO"/>
        </w:rPr>
        <w:t>i fideli chiar de acum mesajului pe care Dumnezeu ni l-a dat?</w:t>
      </w:r>
    </w:p>
    <w:sectPr w:rsidR="00C15045" w:rsidRPr="000F4357" w:rsidSect="00F47D6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503" w:rsidRDefault="006C1503" w:rsidP="000F4357">
      <w:pPr>
        <w:spacing w:after="0" w:line="240" w:lineRule="auto"/>
      </w:pPr>
      <w:r>
        <w:separator/>
      </w:r>
    </w:p>
  </w:endnote>
  <w:endnote w:type="continuationSeparator" w:id="1">
    <w:p w:rsidR="006C1503" w:rsidRDefault="006C1503" w:rsidP="000F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57" w:rsidRPr="000F4357" w:rsidRDefault="000F4357">
    <w:pPr>
      <w:pStyle w:val="Subsol"/>
      <w:rPr>
        <w:i/>
        <w:lang w:val="ro-RO"/>
      </w:rPr>
    </w:pPr>
    <w:r w:rsidRPr="000F4357">
      <w:rPr>
        <w:i/>
        <w:lang w:val="ro-RO"/>
      </w:rPr>
      <w:t>Studiu Biblic, Trim. I, 2019 – Cartea Apocalipsa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503" w:rsidRDefault="006C1503" w:rsidP="000F4357">
      <w:pPr>
        <w:spacing w:after="0" w:line="240" w:lineRule="auto"/>
      </w:pPr>
      <w:r>
        <w:separator/>
      </w:r>
    </w:p>
  </w:footnote>
  <w:footnote w:type="continuationSeparator" w:id="1">
    <w:p w:rsidR="006C1503" w:rsidRDefault="006C1503" w:rsidP="000F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6040"/>
    <w:multiLevelType w:val="hybridMultilevel"/>
    <w:tmpl w:val="A65242A6"/>
    <w:lvl w:ilvl="0" w:tplc="5824B9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1ABE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4C11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BA08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A04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702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924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4CF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B8D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27465F"/>
    <w:multiLevelType w:val="hybridMultilevel"/>
    <w:tmpl w:val="D3A02312"/>
    <w:lvl w:ilvl="0" w:tplc="BFDE4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8EAA0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D2B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BD40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BE0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90D3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7BA5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68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1889C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7D506E"/>
    <w:multiLevelType w:val="hybridMultilevel"/>
    <w:tmpl w:val="BFC6C5CE"/>
    <w:lvl w:ilvl="0" w:tplc="FA424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42D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5A17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6965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2ED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52E5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3E9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D4A4A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4D8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EB406A6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367"/>
    <w:rsid w:val="0005528E"/>
    <w:rsid w:val="000F4357"/>
    <w:rsid w:val="000F613F"/>
    <w:rsid w:val="001F4367"/>
    <w:rsid w:val="00292240"/>
    <w:rsid w:val="002A0009"/>
    <w:rsid w:val="004C7ADE"/>
    <w:rsid w:val="0060073B"/>
    <w:rsid w:val="00660F31"/>
    <w:rsid w:val="006C1503"/>
    <w:rsid w:val="00736900"/>
    <w:rsid w:val="008500DF"/>
    <w:rsid w:val="009A5598"/>
    <w:rsid w:val="00B12A12"/>
    <w:rsid w:val="00B866EC"/>
    <w:rsid w:val="00C15045"/>
    <w:rsid w:val="00DD0477"/>
    <w:rsid w:val="00ED44DD"/>
    <w:rsid w:val="00EF6586"/>
    <w:rsid w:val="00F47D66"/>
    <w:rsid w:val="00F50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477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F436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0F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0F4357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0F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0F43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30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307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0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0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30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17F96-050E-4FF0-BB5A-92078753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413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12 - Judecarea Babilonului</dc:title>
  <dc:subject>Studiu Biblic, Trim. I, 2019 – Cartea Apocalipsa</dc:subject>
  <dc:creator>Sergio Fustero Carreras</dc:creator>
  <cp:keywords>https://www.fustero.es/index_ro.php</cp:keywords>
  <dc:description/>
  <cp:lastModifiedBy>Administrator</cp:lastModifiedBy>
  <cp:revision>5</cp:revision>
  <dcterms:created xsi:type="dcterms:W3CDTF">2019-03-21T19:35:00Z</dcterms:created>
  <dcterms:modified xsi:type="dcterms:W3CDTF">2019-03-22T09:21:00Z</dcterms:modified>
</cp:coreProperties>
</file>