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0" w:rsidRPr="00814B00" w:rsidRDefault="00814B00" w:rsidP="00814B0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814B00">
        <w:rPr>
          <w:bCs/>
          <w:sz w:val="40"/>
          <w:szCs w:val="40"/>
          <w:lang w:val="ro-RO"/>
        </w:rPr>
        <w:t>Rezumatul Studiului 9 - Semnul lui Dumnezeu şi semnul fiarei</w:t>
      </w:r>
      <w:bookmarkEnd w:id="1"/>
      <w:bookmarkEnd w:id="2"/>
    </w:p>
    <w:p w:rsidR="00814B00" w:rsidRPr="00814B00" w:rsidRDefault="00814B00" w:rsidP="00814B00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01259C" w:rsidRPr="00814B00" w:rsidRDefault="0001259C" w:rsidP="00814B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Fiara ridicată din mare. Apocalipsa 13:1-10.</w:t>
      </w:r>
    </w:p>
    <w:p w:rsidR="0001259C" w:rsidRPr="00814B00" w:rsidRDefault="0001259C" w:rsidP="00814B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Identitatea sa. Apocalipsa 13:1-2.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Înaintea lui Ioan apare o fiară, care este o îmbinare a celor patru fiare descrise în Daniel 7.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Cum viziunea se centrează pe activitatea sa în cele 42 de luni (din 538 până în 1798 d.Hr.), putem deduce cu certitudine că este vorba de papalitate, în fa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eta sa de putere religioasă persecutoare.</w:t>
      </w:r>
    </w:p>
    <w:p w:rsidR="0001259C" w:rsidRPr="00814B00" w:rsidRDefault="0001259C" w:rsidP="00814B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Activitatea sa. Apocalipsa 13:3-10.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 xml:space="preserve">Comparând Apocalipsa 13:5-7 cu Daniel 7:24-25, putem vedea că marile lucruri rostite de </w:t>
      </w:r>
      <w:r w:rsidR="00814B00" w:rsidRPr="00814B00">
        <w:rPr>
          <w:bCs/>
          <w:sz w:val="24"/>
          <w:szCs w:val="24"/>
          <w:lang w:val="ro-RO"/>
        </w:rPr>
        <w:t>această</w:t>
      </w:r>
      <w:r w:rsidRPr="00814B00">
        <w:rPr>
          <w:bCs/>
          <w:sz w:val="24"/>
          <w:szCs w:val="24"/>
          <w:lang w:val="ro-RO"/>
        </w:rPr>
        <w:t xml:space="preserve"> fiară reprezintă o schimbare în lege pentru a permite: (1) închinarea la idoli;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(2) schimbarea zilei de închinare, din sâmbătă în duminică.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Blasfemiile împotriva lui Dumnezeu sunt declara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 xml:space="preserve">ii împotriva Celui Preaînalt. Acestea implică înlocuirea mijlocirii lui Isus în sanctuarul ceresc cu mijlocirea umană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jertfa realizată odată pentru totdeauna cu jertfirea zilnică de la slujbă (Evrei 10:10-12).</w:t>
      </w:r>
    </w:p>
    <w:p w:rsidR="0001259C" w:rsidRPr="00814B00" w:rsidRDefault="0001259C" w:rsidP="00814B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Fiara ridicată din pământ. Apocalipsa 13:11-13.</w:t>
      </w:r>
    </w:p>
    <w:p w:rsidR="0001259C" w:rsidRPr="00814B00" w:rsidRDefault="0001259C" w:rsidP="00814B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Identitatea sa. Apocalipsa 13:11.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Această a doua fiară are câteva caracteristici care ne ajută să o identificăm cu claritate:</w:t>
      </w:r>
    </w:p>
    <w:p w:rsidR="0001259C" w:rsidRPr="00814B00" w:rsidRDefault="008868FB" w:rsidP="00814B0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Iese din pământ, un loc pu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in populat.</w:t>
      </w:r>
    </w:p>
    <w:p w:rsidR="0001259C" w:rsidRPr="00814B00" w:rsidRDefault="008868FB" w:rsidP="00814B0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Pare a fi un miel care vorbe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te ca un balaur. Este o na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iune ini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ial pacifică, care ac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ionează apoi cu violen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ă.</w:t>
      </w:r>
    </w:p>
    <w:p w:rsidR="0001259C" w:rsidRPr="00814B00" w:rsidRDefault="008868FB" w:rsidP="00814B0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Prinde putere după rana de moarte a primei fiare (</w:t>
      </w:r>
      <w:r w:rsidR="00FE0494">
        <w:rPr>
          <w:bCs/>
          <w:sz w:val="24"/>
          <w:szCs w:val="24"/>
          <w:lang w:val="ro-RO"/>
        </w:rPr>
        <w:t xml:space="preserve"> în anul </w:t>
      </w:r>
      <w:r w:rsidRPr="00814B00">
        <w:rPr>
          <w:bCs/>
          <w:sz w:val="24"/>
          <w:szCs w:val="24"/>
          <w:lang w:val="ro-RO"/>
        </w:rPr>
        <w:t>1798),</w:t>
      </w:r>
      <w:r w:rsidR="00715E67">
        <w:rPr>
          <w:bCs/>
          <w:sz w:val="24"/>
          <w:szCs w:val="24"/>
          <w:lang w:val="ro-RO"/>
        </w:rPr>
        <w:t xml:space="preserve">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 xml:space="preserve">i continuă să o exercite chiar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după ce rana a fost vindecată.</w:t>
      </w:r>
    </w:p>
    <w:p w:rsidR="0001259C" w:rsidRPr="00814B00" w:rsidRDefault="008868FB" w:rsidP="00814B0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Face semne mari.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Singura na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iune umană care îndepline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te aceste caracteristici sunt Statele Unite</w:t>
      </w:r>
      <w:r w:rsidRPr="00814B00">
        <w:rPr>
          <w:b/>
          <w:bCs/>
          <w:sz w:val="24"/>
          <w:szCs w:val="24"/>
          <w:lang w:val="ro-RO"/>
        </w:rPr>
        <w:t>.</w:t>
      </w:r>
    </w:p>
    <w:p w:rsidR="0001259C" w:rsidRPr="00814B00" w:rsidRDefault="008868FB" w:rsidP="00814B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Semne mari</w:t>
      </w:r>
      <w:r w:rsidR="0001259C" w:rsidRPr="00814B00">
        <w:rPr>
          <w:b/>
          <w:bCs/>
          <w:sz w:val="24"/>
          <w:szCs w:val="24"/>
          <w:lang w:val="ro-RO"/>
        </w:rPr>
        <w:t>. Apocalipsa 13:12-13.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Balaurul i-a dat autoritate fiarei din mare. Aceea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autoritate este exercitată acum de cea de-a doua fiară. De aceea, exercitând-o, vorbe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te ca un balaur.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 xml:space="preserve">La fel cu papalitatea în timpul Evului Mediu, Statele Unite sunt ascultate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 xml:space="preserve">i consultate în conflicte mondiale. Opinia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ac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iunile sale influen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ează întreaga lume.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Pretinzând că ac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ionează conform voii divine, protestantismul apostat (simbolizat de SUA) va face minuni care vor scutura con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tiin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 xml:space="preserve">a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vor determina mul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imi de oameni să recunoască autoritatea primei fiare (papalitatea).</w:t>
      </w:r>
    </w:p>
    <w:p w:rsidR="0001259C" w:rsidRPr="00814B00" w:rsidRDefault="0001259C" w:rsidP="00814B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Chipul fiarei. Apocalipsa 13:14-18.</w:t>
      </w:r>
    </w:p>
    <w:p w:rsidR="0001259C" w:rsidRPr="00814B00" w:rsidRDefault="0001259C" w:rsidP="00814B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Identitatea sa. Apocalipsa 13:14.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Odată ce a reu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it să atragă aten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ia mondială. A doua fiară propune înăl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area unei icoane a primei fiare.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Aceasta implic</w:t>
      </w:r>
      <w:r w:rsidR="00FE0494">
        <w:rPr>
          <w:bCs/>
          <w:sz w:val="24"/>
          <w:szCs w:val="24"/>
          <w:lang w:val="ro-RO"/>
        </w:rPr>
        <w:t>ă</w:t>
      </w:r>
      <w:r w:rsidRPr="00814B00">
        <w:rPr>
          <w:bCs/>
          <w:sz w:val="24"/>
          <w:szCs w:val="24"/>
          <w:lang w:val="ro-RO"/>
        </w:rPr>
        <w:t xml:space="preserve"> formarea unei organiza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ii politico-religioase care, asemenea papalită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ii din Evul Mediu, să î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folosească puterea civilă pentru a impune doctrine religioase.</w:t>
      </w:r>
    </w:p>
    <w:p w:rsidR="004C7393" w:rsidRPr="00814B00" w:rsidRDefault="008868FB" w:rsidP="00814B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/>
          <w:bCs/>
          <w:sz w:val="24"/>
          <w:szCs w:val="24"/>
          <w:lang w:val="ro-RO"/>
        </w:rPr>
        <w:t>Semnul fiarei</w:t>
      </w:r>
      <w:r w:rsidR="0001259C" w:rsidRPr="00814B00">
        <w:rPr>
          <w:b/>
          <w:bCs/>
          <w:sz w:val="24"/>
          <w:szCs w:val="24"/>
          <w:lang w:val="ro-RO"/>
        </w:rPr>
        <w:t>. Apocalipsa 13:15-18.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Semnul fiarei nu este un cip, un cod de bare sau un mecanism secret de control al persoanelor. Este o formă de închinare. Înseamnă acceptarea legii lui Dumnezeu sau a legii oamenilor. Este un semn distinctiv care separă oamenii în două grupuri imediat înainte de a Doua Venire a lui Isus.</w:t>
      </w:r>
    </w:p>
    <w:p w:rsid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Este o decizie pe care tu trebuie să o iei, deoarece salvarea ta ve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 xml:space="preserve">nică depinde de cui te închini </w:t>
      </w:r>
      <w:r w:rsidR="00814B00">
        <w:rPr>
          <w:bCs/>
          <w:sz w:val="24"/>
          <w:szCs w:val="24"/>
          <w:lang w:val="ro-RO"/>
        </w:rPr>
        <w:t>ş</w:t>
      </w:r>
      <w:r w:rsidRPr="00814B00">
        <w:rPr>
          <w:bCs/>
          <w:sz w:val="24"/>
          <w:szCs w:val="24"/>
          <w:lang w:val="ro-RO"/>
        </w:rPr>
        <w:t>i de ce.</w:t>
      </w:r>
    </w:p>
    <w:p w:rsidR="008868FB" w:rsidRPr="00814B00" w:rsidRDefault="008868FB" w:rsidP="00814B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14B00">
        <w:rPr>
          <w:bCs/>
          <w:sz w:val="24"/>
          <w:szCs w:val="24"/>
          <w:lang w:val="ro-RO"/>
        </w:rPr>
        <w:t>În Biblie, numele este un sinonim al caracterului. De aceea, cei 144.000 sunt sigila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 cu numele –caracterul</w:t>
      </w:r>
      <w:r w:rsidR="00FE0494">
        <w:rPr>
          <w:bCs/>
          <w:sz w:val="24"/>
          <w:szCs w:val="24"/>
          <w:lang w:val="ro-RO"/>
        </w:rPr>
        <w:t xml:space="preserve"> </w:t>
      </w:r>
      <w:r w:rsidRPr="00814B00">
        <w:rPr>
          <w:bCs/>
          <w:sz w:val="24"/>
          <w:szCs w:val="24"/>
          <w:lang w:val="ro-RO"/>
        </w:rPr>
        <w:t>– lui Dumnezeu (Ap. 14:1), iar restul sunt marca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 cu caracterul fiarei. Al</w:t>
      </w:r>
      <w:r w:rsidR="00814B00">
        <w:rPr>
          <w:bCs/>
          <w:sz w:val="24"/>
          <w:szCs w:val="24"/>
          <w:lang w:val="ro-RO"/>
        </w:rPr>
        <w:t>ţ</w:t>
      </w:r>
      <w:r w:rsidRPr="00814B00">
        <w:rPr>
          <w:bCs/>
          <w:sz w:val="24"/>
          <w:szCs w:val="24"/>
          <w:lang w:val="ro-RO"/>
        </w:rPr>
        <w:t>ii vor primi semnul doar din interes (pe mâna dreaptă).</w:t>
      </w:r>
    </w:p>
    <w:p w:rsidR="008868FB" w:rsidRPr="00814B00" w:rsidRDefault="008868FB" w:rsidP="00814B00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ro-RO"/>
        </w:rPr>
      </w:pPr>
    </w:p>
    <w:sectPr w:rsidR="008868FB" w:rsidRPr="00814B00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E6" w:rsidRDefault="00B868E6" w:rsidP="00814B00">
      <w:pPr>
        <w:spacing w:after="0" w:line="240" w:lineRule="auto"/>
      </w:pPr>
      <w:r>
        <w:separator/>
      </w:r>
    </w:p>
  </w:endnote>
  <w:endnote w:type="continuationSeparator" w:id="0">
    <w:p w:rsidR="00B868E6" w:rsidRDefault="00B868E6" w:rsidP="0081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00" w:rsidRPr="00814B00" w:rsidRDefault="00814B00">
    <w:pPr>
      <w:pStyle w:val="Subsol"/>
      <w:rPr>
        <w:i/>
        <w:lang w:val="ro-RO"/>
      </w:rPr>
    </w:pPr>
    <w:r w:rsidRPr="00814B00">
      <w:rPr>
        <w:i/>
        <w:lang w:val="ro-RO"/>
      </w:rPr>
      <w:t xml:space="preserve">Studiu Biblic, </w:t>
    </w:r>
    <w:proofErr w:type="spellStart"/>
    <w:r w:rsidRPr="00814B00">
      <w:rPr>
        <w:i/>
        <w:lang w:val="ro-RO"/>
      </w:rPr>
      <w:t>Trim</w:t>
    </w:r>
    <w:proofErr w:type="spellEnd"/>
    <w:r w:rsidRPr="00814B00">
      <w:rPr>
        <w:i/>
        <w:lang w:val="ro-RO"/>
      </w:rPr>
      <w:t>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E6" w:rsidRDefault="00B868E6" w:rsidP="00814B00">
      <w:pPr>
        <w:spacing w:after="0" w:line="240" w:lineRule="auto"/>
      </w:pPr>
      <w:r>
        <w:separator/>
      </w:r>
    </w:p>
  </w:footnote>
  <w:footnote w:type="continuationSeparator" w:id="0">
    <w:p w:rsidR="00B868E6" w:rsidRDefault="00B868E6" w:rsidP="0081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9F8"/>
    <w:multiLevelType w:val="hybridMultilevel"/>
    <w:tmpl w:val="88F8317A"/>
    <w:lvl w:ilvl="0" w:tplc="9C72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251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8C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D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2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6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8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4C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59664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7EC3293"/>
    <w:multiLevelType w:val="hybridMultilevel"/>
    <w:tmpl w:val="BF128BA2"/>
    <w:lvl w:ilvl="0" w:tplc="56F2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3EE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6AC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9A8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ACF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7C6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D62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5CE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06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2E4"/>
    <w:rsid w:val="0001259C"/>
    <w:rsid w:val="002702E4"/>
    <w:rsid w:val="00343995"/>
    <w:rsid w:val="00372009"/>
    <w:rsid w:val="004C7393"/>
    <w:rsid w:val="0061207D"/>
    <w:rsid w:val="00715E67"/>
    <w:rsid w:val="0078580D"/>
    <w:rsid w:val="00786A45"/>
    <w:rsid w:val="00814B00"/>
    <w:rsid w:val="00872918"/>
    <w:rsid w:val="008868FB"/>
    <w:rsid w:val="00B866EC"/>
    <w:rsid w:val="00B868E6"/>
    <w:rsid w:val="00D21B9A"/>
    <w:rsid w:val="00EF6586"/>
    <w:rsid w:val="00F47D66"/>
    <w:rsid w:val="00F52B91"/>
    <w:rsid w:val="00F74D86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99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02E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1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14B00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1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14B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460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Semnul lui Dumnezeu si semnul fiarei</dc:title>
  <dc:subject>Studiu Biblic, Trim. I, 2019 – Cartea Apocalipsa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2019-03-01T14:29:00Z</dcterms:created>
  <dcterms:modified xsi:type="dcterms:W3CDTF">2019-03-01T19:39:00Z</dcterms:modified>
</cp:coreProperties>
</file>