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5E" w:rsidRPr="00CD23E6" w:rsidRDefault="00A3325E" w:rsidP="00CD23E6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r w:rsidRPr="00CD23E6">
        <w:rPr>
          <w:sz w:val="40"/>
          <w:szCs w:val="40"/>
          <w:lang w:val="ro-RO"/>
        </w:rPr>
        <w:t>Rezumatul Studiului 4 - Mântuirea şi timpul sfârşitului</w:t>
      </w:r>
    </w:p>
    <w:p w:rsidR="00A3325E" w:rsidRPr="00CD23E6" w:rsidRDefault="00A3325E" w:rsidP="00CD23E6">
      <w:pPr>
        <w:pStyle w:val="Listparagraf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A3325E" w:rsidRPr="00CD23E6" w:rsidRDefault="00A3325E" w:rsidP="00CD23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>Dumnezeu este autorul mântuirii.</w:t>
      </w:r>
    </w:p>
    <w:p w:rsidR="00A3325E" w:rsidRPr="00CD23E6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 xml:space="preserve">Dragostea Tatălui. </w:t>
      </w:r>
      <w:proofErr w:type="spellStart"/>
      <w:r w:rsidRPr="00CD23E6">
        <w:rPr>
          <w:b/>
          <w:bCs/>
          <w:sz w:val="26"/>
          <w:szCs w:val="26"/>
          <w:lang w:val="ro-RO"/>
        </w:rPr>
        <w:t>Maleahi</w:t>
      </w:r>
      <w:proofErr w:type="spellEnd"/>
      <w:r w:rsidRPr="00CD23E6">
        <w:rPr>
          <w:b/>
          <w:bCs/>
          <w:sz w:val="26"/>
          <w:szCs w:val="26"/>
          <w:lang w:val="ro-RO"/>
        </w:rPr>
        <w:t xml:space="preserve"> 3:6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Isus a clarificat faptul că Tatăl</w:t>
      </w:r>
      <w:r w:rsidR="00D261BF">
        <w:rPr>
          <w:bCs/>
          <w:sz w:val="26"/>
          <w:szCs w:val="26"/>
          <w:lang w:val="ro-RO"/>
        </w:rPr>
        <w:t xml:space="preserve"> </w:t>
      </w:r>
      <w:r w:rsidRPr="00CD23E6">
        <w:rPr>
          <w:bCs/>
          <w:sz w:val="26"/>
          <w:szCs w:val="26"/>
          <w:lang w:val="ro-RO"/>
        </w:rPr>
        <w:t xml:space="preserve">(VT)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El (NT) au acelea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i sentimente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se poartă în acela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i fel </w:t>
      </w: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>Cel ce M-a văzut pe mine, L-a văzut pe Tatăl” (Ioan 14:9).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Să-L cunoa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tem pe Dumnezeu Tatăl: Exod 34:6; Psalmi</w:t>
      </w:r>
      <w:r>
        <w:rPr>
          <w:bCs/>
          <w:sz w:val="26"/>
          <w:szCs w:val="26"/>
          <w:lang w:val="ro-RO"/>
        </w:rPr>
        <w:t>i</w:t>
      </w:r>
      <w:r w:rsidRPr="00CD23E6">
        <w:rPr>
          <w:bCs/>
          <w:sz w:val="26"/>
          <w:szCs w:val="26"/>
          <w:lang w:val="ro-RO"/>
        </w:rPr>
        <w:t xml:space="preserve"> 147:11; Ieremia 29:11; 31:3; </w:t>
      </w:r>
      <w:proofErr w:type="spellStart"/>
      <w:r w:rsidR="00D261BF"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efania</w:t>
      </w:r>
      <w:proofErr w:type="spellEnd"/>
      <w:r w:rsidRPr="00CD23E6">
        <w:rPr>
          <w:bCs/>
          <w:sz w:val="26"/>
          <w:szCs w:val="26"/>
          <w:lang w:val="ro-RO"/>
        </w:rPr>
        <w:t xml:space="preserve"> 3:17.</w:t>
      </w:r>
    </w:p>
    <w:p w:rsidR="00A3325E" w:rsidRPr="00CD23E6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>Dragostea lui Hristos. Filipeni 2:5-8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Doar Dumnezeu, singurul care are via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ă prin Sine Însu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(Ioan 5:26), putea să î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dea via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 xml:space="preserve">a pentru răscumpărarea noastră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apoi să o ia din nou (Ioan 10:18), devenind, astfel, Mântuitorul nostru (Luca 2:11).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Isus nu s-a limitat la a lua o înfă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i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are </w:t>
      </w: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>aparent umană”. S-a făcut pe deplin om, 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a cum este pe deplin Dumnezeu.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a făcut-o din dragoste.</w:t>
      </w:r>
    </w:p>
    <w:p w:rsidR="00A3325E" w:rsidRPr="00CD23E6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>Dragostea Duhului Sfânt. Romani 15:30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 xml:space="preserve">Individualitatea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personalitatea Duhului Sfânt sunt înregistrate în Scripturi: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A luat parte la întruparea lui Isus (Matei 1:20).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 xml:space="preserve">Este independent de Tatăl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de Fiul (Matei 28:19).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Înva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ă (Luca 12:12).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 xml:space="preserve">Consolează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sfătuie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te (Ioan 14:16).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Convinge oamenii (Ioan 16:8).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Conduce spre adevăr (Ioan 16:13).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Îl glorifică pe Hristos (Ioan 16:14).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Mijloce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te (Romani 8:26).</w:t>
      </w:r>
    </w:p>
    <w:p w:rsidR="00A3325E" w:rsidRPr="00CD23E6" w:rsidRDefault="00A3325E" w:rsidP="00CD23E6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Sfin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te (1 Petru 1:2).</w:t>
      </w:r>
    </w:p>
    <w:p w:rsidR="00A3325E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Duhul lui Dumnezeu este Dumnezeu, 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a cum sunt Tatăl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Fiul. Împreună sunt un singur Dumnezeu. To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i trei ne iubesc în acela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i fel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lucrează cu scopul de a ne mântui pentru Împără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ia ve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nică a lui Dumnezeu.</w:t>
      </w:r>
    </w:p>
    <w:p w:rsidR="00A3325E" w:rsidRPr="00CD23E6" w:rsidRDefault="00A3325E" w:rsidP="00CD23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>Siguran</w:t>
      </w:r>
      <w:r>
        <w:rPr>
          <w:b/>
          <w:bCs/>
          <w:sz w:val="26"/>
          <w:szCs w:val="26"/>
          <w:lang w:val="ro-RO"/>
        </w:rPr>
        <w:t>ţ</w:t>
      </w:r>
      <w:r w:rsidRPr="00CD23E6">
        <w:rPr>
          <w:b/>
          <w:bCs/>
          <w:sz w:val="26"/>
          <w:szCs w:val="26"/>
          <w:lang w:val="ro-RO"/>
        </w:rPr>
        <w:t xml:space="preserve">a mântuirii. </w:t>
      </w:r>
      <w:proofErr w:type="spellStart"/>
      <w:r w:rsidRPr="00CD23E6">
        <w:rPr>
          <w:b/>
          <w:bCs/>
          <w:sz w:val="26"/>
          <w:szCs w:val="26"/>
          <w:lang w:val="ro-RO"/>
        </w:rPr>
        <w:t>Tit</w:t>
      </w:r>
      <w:proofErr w:type="spellEnd"/>
      <w:r w:rsidRPr="00CD23E6">
        <w:rPr>
          <w:b/>
          <w:bCs/>
          <w:sz w:val="26"/>
          <w:szCs w:val="26"/>
          <w:lang w:val="ro-RO"/>
        </w:rPr>
        <w:t xml:space="preserve"> 3:5</w:t>
      </w:r>
    </w:p>
    <w:p w:rsidR="00A3325E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Dumnezeu ne cere să ducem o via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ă sfântă, dar în mila Sa, nu face din acest aspect condi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 xml:space="preserve">ia pentru mântuire. Acesta este garantată pentru oricine crede în sacrificiul răscumpărător al lui Isus pe cruce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în învierea Sa.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 xml:space="preserve">Mă va chema…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i-i voi arăta mântuirea Mea” (Psalmi 91:15-16).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>Atunci oricine va chema numele Domnului va fi mântuit!” (</w:t>
      </w:r>
      <w:proofErr w:type="spellStart"/>
      <w:r w:rsidRPr="00CD23E6">
        <w:rPr>
          <w:bCs/>
          <w:sz w:val="26"/>
          <w:szCs w:val="26"/>
          <w:lang w:val="ro-RO"/>
        </w:rPr>
        <w:t>Ioel</w:t>
      </w:r>
      <w:proofErr w:type="spellEnd"/>
      <w:r w:rsidRPr="00CD23E6">
        <w:rPr>
          <w:bCs/>
          <w:sz w:val="26"/>
          <w:szCs w:val="26"/>
          <w:lang w:val="ro-RO"/>
        </w:rPr>
        <w:t xml:space="preserve"> 2:32).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>Eu le dau via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ă ve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nică; …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nimeni nu le va smulge din mâna Mea” (Ioan 10:28).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>Dacă mărturise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ti… pe Isus ca Domn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dacă crezi… vei fi mântuit”(Romani 10:9).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CD23E6">
        <w:rPr>
          <w:bCs/>
          <w:sz w:val="26"/>
          <w:szCs w:val="26"/>
          <w:lang w:val="ro-RO"/>
        </w:rPr>
        <w:t xml:space="preserve">V-am scris… ca să </w:t>
      </w:r>
      <w:r>
        <w:rPr>
          <w:bCs/>
          <w:sz w:val="26"/>
          <w:szCs w:val="26"/>
          <w:lang w:val="ro-RO"/>
        </w:rPr>
        <w:t>…</w:t>
      </w:r>
      <w:r w:rsidRPr="00CD23E6">
        <w:rPr>
          <w:bCs/>
          <w:sz w:val="26"/>
          <w:szCs w:val="26"/>
          <w:lang w:val="ro-RO"/>
        </w:rPr>
        <w:t xml:space="preserve"> ave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i via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a ve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nică” (1 Ioan 5:13).</w:t>
      </w:r>
    </w:p>
    <w:p w:rsidR="00A3325E" w:rsidRPr="00CD23E6" w:rsidRDefault="00A3325E" w:rsidP="00CD23E6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„…</w:t>
      </w:r>
      <w:r w:rsidRPr="00CD23E6">
        <w:rPr>
          <w:bCs/>
          <w:sz w:val="26"/>
          <w:szCs w:val="26"/>
          <w:lang w:val="ro-RO"/>
        </w:rPr>
        <w:t xml:space="preserve"> Cine vrea, să ia apa vie</w:t>
      </w:r>
      <w:r>
        <w:rPr>
          <w:bCs/>
          <w:sz w:val="26"/>
          <w:szCs w:val="26"/>
          <w:lang w:val="ro-RO"/>
        </w:rPr>
        <w:t>ţ</w:t>
      </w:r>
      <w:r w:rsidRPr="00CD23E6">
        <w:rPr>
          <w:bCs/>
          <w:sz w:val="26"/>
          <w:szCs w:val="26"/>
          <w:lang w:val="ro-RO"/>
        </w:rPr>
        <w:t>ii fără plată” (Apocalipsa 22:17).</w:t>
      </w:r>
    </w:p>
    <w:p w:rsidR="00A3325E" w:rsidRPr="00CD23E6" w:rsidRDefault="00A3325E" w:rsidP="00CD23E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/>
          <w:bCs/>
          <w:sz w:val="26"/>
          <w:szCs w:val="26"/>
          <w:lang w:val="ro-RO"/>
        </w:rPr>
        <w:t>Proclamarea mesajului mântuirii.</w:t>
      </w:r>
      <w:r w:rsidRPr="00CD23E6">
        <w:rPr>
          <w:b/>
          <w:sz w:val="26"/>
          <w:szCs w:val="26"/>
          <w:lang w:val="ro-RO"/>
        </w:rPr>
        <w:t xml:space="preserve"> Apocalipsa 14:6.</w:t>
      </w:r>
    </w:p>
    <w:p w:rsidR="00A3325E" w:rsidRPr="00CD23E6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Dumnezeu dore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te ca noi să trăim ve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nic cu El (Apocalipsa 22:3-5),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a făcut tot ce era nevoie pentru acesta (Ioan 3:16). Dacă acceptăm planul, mântuirea noastră este asigurată.</w:t>
      </w:r>
    </w:p>
    <w:p w:rsidR="00A3325E" w:rsidRPr="00CD23E6" w:rsidRDefault="00A3325E" w:rsidP="00CD23E6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CD23E6">
        <w:rPr>
          <w:bCs/>
          <w:sz w:val="26"/>
          <w:szCs w:val="26"/>
          <w:lang w:val="ro-RO"/>
        </w:rPr>
        <w:t>Cunoa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 xml:space="preserve">tem dragostea lui Dumnezeu 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 planul de mântuire. Cum să păstrăm pentru noi în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ine acest mesaj minunat? Proclamă astăzi evanghelia ve</w:t>
      </w:r>
      <w:r>
        <w:rPr>
          <w:bCs/>
          <w:sz w:val="26"/>
          <w:szCs w:val="26"/>
          <w:lang w:val="ro-RO"/>
        </w:rPr>
        <w:t>ş</w:t>
      </w:r>
      <w:r w:rsidRPr="00CD23E6">
        <w:rPr>
          <w:bCs/>
          <w:sz w:val="26"/>
          <w:szCs w:val="26"/>
          <w:lang w:val="ro-RO"/>
        </w:rPr>
        <w:t>nică.</w:t>
      </w:r>
    </w:p>
    <w:sectPr w:rsidR="00A3325E" w:rsidRPr="00CD23E6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5E" w:rsidRDefault="00A3325E">
      <w:r>
        <w:separator/>
      </w:r>
    </w:p>
  </w:endnote>
  <w:endnote w:type="continuationSeparator" w:id="1">
    <w:p w:rsidR="00A3325E" w:rsidRDefault="00A33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5E" w:rsidRPr="00CD23E6" w:rsidRDefault="00A3325E" w:rsidP="00CD23E6">
    <w:pPr>
      <w:pStyle w:val="Subsol"/>
      <w:spacing w:after="0" w:line="240" w:lineRule="auto"/>
      <w:rPr>
        <w:i/>
        <w:lang w:val="ro-RO"/>
      </w:rPr>
    </w:pPr>
    <w:r w:rsidRPr="00CD23E6">
      <w:rPr>
        <w:i/>
        <w:lang w:val="ro-RO"/>
      </w:rPr>
      <w:t xml:space="preserve">Studiu Biblic, </w:t>
    </w:r>
    <w:proofErr w:type="spellStart"/>
    <w:r w:rsidRPr="00CD23E6">
      <w:rPr>
        <w:i/>
        <w:lang w:val="ro-RO"/>
      </w:rPr>
      <w:t>Trim</w:t>
    </w:r>
    <w:proofErr w:type="spellEnd"/>
    <w:r w:rsidRPr="00CD23E6">
      <w:rPr>
        <w:i/>
        <w:lang w:val="ro-RO"/>
      </w:rPr>
      <w:t>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5E" w:rsidRDefault="00A3325E">
      <w:r>
        <w:separator/>
      </w:r>
    </w:p>
  </w:footnote>
  <w:footnote w:type="continuationSeparator" w:id="1">
    <w:p w:rsidR="00A3325E" w:rsidRDefault="00A33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5E" w:rsidRPr="00CD23E6" w:rsidRDefault="00A3325E" w:rsidP="00CD23E6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5DE"/>
    <w:multiLevelType w:val="hybridMultilevel"/>
    <w:tmpl w:val="201C3504"/>
    <w:lvl w:ilvl="0" w:tplc="52F25E6A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CE46A" w:tentative="1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C9D06" w:tentative="1">
      <w:start w:val="1"/>
      <w:numFmt w:val="bullet"/>
      <w:lvlText w:val="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C4166" w:tentative="1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C0CF4" w:tentative="1">
      <w:start w:val="1"/>
      <w:numFmt w:val="bullet"/>
      <w:lvlText w:val="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4898E" w:tentative="1">
      <w:start w:val="1"/>
      <w:numFmt w:val="bullet"/>
      <w:lvlText w:val="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ADDD8" w:tentative="1">
      <w:start w:val="1"/>
      <w:numFmt w:val="bullet"/>
      <w:lvlText w:val="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A5F8" w:tentative="1">
      <w:start w:val="1"/>
      <w:numFmt w:val="bullet"/>
      <w:lvlText w:val="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8F1A6" w:tentative="1">
      <w:start w:val="1"/>
      <w:numFmt w:val="bullet"/>
      <w:lvlText w:val="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943F3"/>
    <w:multiLevelType w:val="hybridMultilevel"/>
    <w:tmpl w:val="054A49AE"/>
    <w:lvl w:ilvl="0" w:tplc="E8883834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F7D4" w:tentative="1">
      <w:start w:val="1"/>
      <w:numFmt w:val="bullet"/>
      <w:lvlText w:val="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21C6C" w:tentative="1">
      <w:start w:val="1"/>
      <w:numFmt w:val="bullet"/>
      <w:lvlText w:val="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CEED2" w:tentative="1">
      <w:start w:val="1"/>
      <w:numFmt w:val="bullet"/>
      <w:lvlText w:val="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20CC" w:tentative="1">
      <w:start w:val="1"/>
      <w:numFmt w:val="bullet"/>
      <w:lvlText w:val="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2D39A" w:tentative="1">
      <w:start w:val="1"/>
      <w:numFmt w:val="bullet"/>
      <w:lvlText w:val="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E39A" w:tentative="1">
      <w:start w:val="1"/>
      <w:numFmt w:val="bullet"/>
      <w:lvlText w:val="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5E34" w:tentative="1">
      <w:start w:val="1"/>
      <w:numFmt w:val="bullet"/>
      <w:lvlText w:val="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4A6BC" w:tentative="1">
      <w:start w:val="1"/>
      <w:numFmt w:val="bullet"/>
      <w:lvlText w:val="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15966"/>
    <w:multiLevelType w:val="hybridMultilevel"/>
    <w:tmpl w:val="DD9C54C8"/>
    <w:lvl w:ilvl="0" w:tplc="06FE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8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A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82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01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0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4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E70E8B"/>
    <w:multiLevelType w:val="multilevel"/>
    <w:tmpl w:val="415AA5A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C04"/>
    <w:rsid w:val="00206F3F"/>
    <w:rsid w:val="002C4689"/>
    <w:rsid w:val="003463E0"/>
    <w:rsid w:val="00357E16"/>
    <w:rsid w:val="003A5BA9"/>
    <w:rsid w:val="006651E8"/>
    <w:rsid w:val="00753BB9"/>
    <w:rsid w:val="00837224"/>
    <w:rsid w:val="00A3325E"/>
    <w:rsid w:val="00AF7634"/>
    <w:rsid w:val="00B866EC"/>
    <w:rsid w:val="00BF1DA4"/>
    <w:rsid w:val="00BF3C04"/>
    <w:rsid w:val="00C176C9"/>
    <w:rsid w:val="00C9247F"/>
    <w:rsid w:val="00CB57D0"/>
    <w:rsid w:val="00CD23E6"/>
    <w:rsid w:val="00CF4232"/>
    <w:rsid w:val="00D12E5D"/>
    <w:rsid w:val="00D261BF"/>
    <w:rsid w:val="00DA7FCB"/>
    <w:rsid w:val="00EF6586"/>
    <w:rsid w:val="00F47D66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4689"/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BF3C0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CD23E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23FDB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CD23E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23FDB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Mantuirea si timpul sfarsitului</dc:title>
  <dc:subject>Studiu Biblic, Trim. II, 2018 – Pregatire pentru timpul sfarsitului</dc:subject>
  <dc:creator>Sergio Fustero Carreras</dc:creator>
  <cp:keywords>http://www.fustero.net/es/index_ro.php</cp:keywords>
  <dc:description/>
  <cp:lastModifiedBy>isj</cp:lastModifiedBy>
  <cp:revision>5</cp:revision>
  <dcterms:created xsi:type="dcterms:W3CDTF">2018-04-23T21:29:00Z</dcterms:created>
  <dcterms:modified xsi:type="dcterms:W3CDTF">2018-04-25T12:20:00Z</dcterms:modified>
</cp:coreProperties>
</file>