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7E7" w:rsidRPr="008D613D" w:rsidRDefault="00CB37E7" w:rsidP="008D613D">
      <w:pPr>
        <w:pStyle w:val="ListParagraph"/>
        <w:spacing w:after="0" w:line="240" w:lineRule="auto"/>
        <w:ind w:left="0"/>
        <w:jc w:val="center"/>
        <w:rPr>
          <w:sz w:val="40"/>
          <w:szCs w:val="40"/>
          <w:lang w:val="ro-RO"/>
        </w:rPr>
      </w:pPr>
      <w:bookmarkStart w:id="0" w:name="_GoBack"/>
      <w:bookmarkEnd w:id="0"/>
      <w:r w:rsidRPr="008D613D">
        <w:rPr>
          <w:sz w:val="40"/>
          <w:szCs w:val="40"/>
          <w:lang w:val="ro-RO"/>
        </w:rPr>
        <w:t>Rezumatul Studiului 2 - Moştenirea celor credincioşi</w:t>
      </w:r>
    </w:p>
    <w:p w:rsidR="00CB37E7" w:rsidRPr="008D613D" w:rsidRDefault="00CB37E7" w:rsidP="008D613D">
      <w:pPr>
        <w:pStyle w:val="ListParagraph"/>
        <w:spacing w:after="0" w:line="240" w:lineRule="auto"/>
        <w:ind w:left="0"/>
        <w:jc w:val="both"/>
        <w:rPr>
          <w:sz w:val="24"/>
          <w:szCs w:val="26"/>
          <w:lang w:val="ro-RO"/>
        </w:rPr>
      </w:pPr>
    </w:p>
    <w:p w:rsidR="00CB37E7" w:rsidRPr="008D613D" w:rsidRDefault="00CB37E7" w:rsidP="008D61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  <w:lang w:val="ro-RO"/>
        </w:rPr>
      </w:pPr>
      <w:r w:rsidRPr="008D613D">
        <w:rPr>
          <w:b/>
          <w:bCs/>
          <w:sz w:val="24"/>
          <w:szCs w:val="24"/>
          <w:lang w:val="ro-RO"/>
        </w:rPr>
        <w:t>1 Petru 1:1. Destinatarii scrisorii.</w:t>
      </w:r>
    </w:p>
    <w:p w:rsidR="00CB37E7" w:rsidRPr="008D613D" w:rsidRDefault="00CB37E7" w:rsidP="008D613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8D613D">
        <w:rPr>
          <w:bCs/>
          <w:sz w:val="24"/>
          <w:szCs w:val="24"/>
          <w:lang w:val="ro-RO"/>
        </w:rPr>
        <w:t>Petru scrie din Roma credincioşilor din provinciile romane din Asia (actuala Turcie).</w:t>
      </w:r>
    </w:p>
    <w:p w:rsidR="00CB37E7" w:rsidRPr="008D613D" w:rsidRDefault="00CB37E7" w:rsidP="008D613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8D613D">
        <w:rPr>
          <w:bCs/>
          <w:sz w:val="24"/>
          <w:szCs w:val="24"/>
          <w:lang w:val="ro-RO"/>
        </w:rPr>
        <w:t xml:space="preserve">Data cea mai probabilă a redactării scrisorii este între </w:t>
      </w:r>
      <w:r>
        <w:rPr>
          <w:bCs/>
          <w:sz w:val="24"/>
          <w:szCs w:val="24"/>
          <w:lang w:val="ro-RO"/>
        </w:rPr>
        <w:t xml:space="preserve">anii </w:t>
      </w:r>
      <w:r w:rsidRPr="008D613D">
        <w:rPr>
          <w:bCs/>
          <w:sz w:val="24"/>
          <w:szCs w:val="24"/>
          <w:lang w:val="ro-RO"/>
        </w:rPr>
        <w:t>64 şi</w:t>
      </w:r>
      <w:r>
        <w:rPr>
          <w:bCs/>
          <w:sz w:val="24"/>
          <w:szCs w:val="24"/>
          <w:lang w:val="ro-RO"/>
        </w:rPr>
        <w:t xml:space="preserve"> </w:t>
      </w:r>
      <w:r w:rsidRPr="008D613D">
        <w:rPr>
          <w:bCs/>
          <w:sz w:val="24"/>
          <w:szCs w:val="24"/>
          <w:lang w:val="ro-RO"/>
        </w:rPr>
        <w:t>66 d.Hr., în timpul împăratului Nero.</w:t>
      </w:r>
    </w:p>
    <w:p w:rsidR="00CB37E7" w:rsidRPr="008D613D" w:rsidRDefault="00CB37E7" w:rsidP="008D613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Cs/>
          <w:sz w:val="24"/>
          <w:szCs w:val="24"/>
          <w:lang w:val="ro-RO"/>
        </w:rPr>
      </w:pPr>
      <w:r w:rsidRPr="008D613D">
        <w:rPr>
          <w:bCs/>
          <w:sz w:val="24"/>
          <w:szCs w:val="24"/>
          <w:lang w:val="ro-RO"/>
        </w:rPr>
        <w:t>Expresia „străini” se foloseşte şi în 1 Petru 2:11 şi Evrei 11:13 pentru a vorbi de credincioşi ca şi peregrini pe acest pământ.</w:t>
      </w:r>
    </w:p>
    <w:p w:rsidR="00CB37E7" w:rsidRPr="008D613D" w:rsidRDefault="00CB37E7" w:rsidP="008D613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8D613D">
        <w:rPr>
          <w:bCs/>
          <w:sz w:val="24"/>
          <w:szCs w:val="24"/>
          <w:lang w:val="ro-RO"/>
        </w:rPr>
        <w:t>O posibilă traducere ar fi: „cei ce trăiesc în afara patriei lor”, cu referire la Ierusalimul ceresc.</w:t>
      </w:r>
    </w:p>
    <w:p w:rsidR="00CB37E7" w:rsidRPr="008D613D" w:rsidRDefault="00CB37E7" w:rsidP="008D61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  <w:lang w:val="ro-RO"/>
        </w:rPr>
      </w:pPr>
      <w:r w:rsidRPr="008D613D">
        <w:rPr>
          <w:b/>
          <w:bCs/>
          <w:sz w:val="24"/>
          <w:szCs w:val="24"/>
          <w:lang w:val="ro-RO"/>
        </w:rPr>
        <w:t>1 Petru 1:2. Alegerea credincioşilor.</w:t>
      </w:r>
    </w:p>
    <w:p w:rsidR="00CB37E7" w:rsidRPr="008D613D" w:rsidRDefault="00CB37E7" w:rsidP="008D613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8D613D">
        <w:rPr>
          <w:bCs/>
          <w:sz w:val="24"/>
          <w:szCs w:val="24"/>
          <w:lang w:val="ro-RO"/>
        </w:rPr>
        <w:t>Subliniază Petru aici o predestinare imuabilă, prin care unii sunt aleşi pentru mântuire, iar alţii pentru moarte (vezi Romani 8:30)?</w:t>
      </w:r>
    </w:p>
    <w:p w:rsidR="00CB37E7" w:rsidRPr="008D613D" w:rsidRDefault="00CB37E7" w:rsidP="008D613D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8D613D">
        <w:rPr>
          <w:bCs/>
          <w:sz w:val="24"/>
          <w:szCs w:val="24"/>
          <w:lang w:val="ro-RO"/>
        </w:rPr>
        <w:t>Efeseni 1:4. Alegerea a fost făcută înainte de întemeierea lumii.</w:t>
      </w:r>
    </w:p>
    <w:p w:rsidR="00CB37E7" w:rsidRPr="008D613D" w:rsidRDefault="00CB37E7" w:rsidP="008D613D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8D613D">
        <w:rPr>
          <w:bCs/>
          <w:sz w:val="24"/>
          <w:szCs w:val="24"/>
          <w:lang w:val="ro-RO"/>
        </w:rPr>
        <w:t>1 Timotei 2:4. Dorinţa lui Dumnezeu este ca „</w:t>
      </w:r>
      <w:r w:rsidRPr="008D613D">
        <w:rPr>
          <w:bCs/>
          <w:i/>
          <w:iCs/>
          <w:sz w:val="24"/>
          <w:szCs w:val="24"/>
          <w:lang w:val="ro-RO"/>
        </w:rPr>
        <w:t>toţi oamenii</w:t>
      </w:r>
      <w:r w:rsidRPr="008D613D">
        <w:rPr>
          <w:bCs/>
          <w:sz w:val="24"/>
          <w:szCs w:val="24"/>
          <w:lang w:val="ro-RO"/>
        </w:rPr>
        <w:t>” să fie mântuiţi.</w:t>
      </w:r>
    </w:p>
    <w:p w:rsidR="00CB37E7" w:rsidRPr="008D613D" w:rsidRDefault="00CB37E7" w:rsidP="008D613D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8D613D">
        <w:rPr>
          <w:bCs/>
          <w:sz w:val="24"/>
          <w:szCs w:val="24"/>
          <w:lang w:val="ro-RO"/>
        </w:rPr>
        <w:t>2 Petru 3:9. Dumnezeu doreşte ca toţi să se pocăiască, dar nu obligă pe nimeni.</w:t>
      </w:r>
    </w:p>
    <w:p w:rsidR="00CB37E7" w:rsidRPr="008D613D" w:rsidRDefault="00CB37E7" w:rsidP="008D613D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8D613D">
        <w:rPr>
          <w:bCs/>
          <w:sz w:val="24"/>
          <w:szCs w:val="24"/>
          <w:lang w:val="ro-RO"/>
        </w:rPr>
        <w:t>Ioan 3:16. Toţi au oportunitatea de a fi răscumpăraţi prin sângele lui Isus.</w:t>
      </w:r>
    </w:p>
    <w:p w:rsidR="00CB37E7" w:rsidRPr="008D613D" w:rsidRDefault="00CB37E7" w:rsidP="008D613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8D613D">
        <w:rPr>
          <w:bCs/>
          <w:sz w:val="24"/>
          <w:szCs w:val="24"/>
          <w:lang w:val="ro-RO"/>
        </w:rPr>
        <w:t xml:space="preserve">Dumnezeu i-a predestinat pe toţi pentru mântuire, dar unii au respins această chemare. În preştiinţa Lui, Dumnezeu ştie cine va răspunde acestei chemări. Însă </w:t>
      </w:r>
      <w:r w:rsidRPr="00117394">
        <w:rPr>
          <w:bCs/>
          <w:sz w:val="24"/>
          <w:szCs w:val="24"/>
          <w:lang w:val="ro-RO"/>
        </w:rPr>
        <w:t>această</w:t>
      </w:r>
      <w:r w:rsidRPr="008D613D">
        <w:rPr>
          <w:bCs/>
          <w:sz w:val="24"/>
          <w:szCs w:val="24"/>
          <w:lang w:val="ro-RO"/>
        </w:rPr>
        <w:t xml:space="preserve"> cunoaştere anticipată nu va influenţa dreptul la alegere al fiecărui individ.</w:t>
      </w:r>
    </w:p>
    <w:p w:rsidR="00CB37E7" w:rsidRPr="008D613D" w:rsidRDefault="00CB37E7" w:rsidP="008D613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8D613D">
        <w:rPr>
          <w:bCs/>
          <w:sz w:val="24"/>
          <w:szCs w:val="24"/>
          <w:lang w:val="ro-RO"/>
        </w:rPr>
        <w:t>Un alt aspect important în formula de salut a lui Petru este rolul pe care îl are fiecare membru al divinităţii:</w:t>
      </w:r>
    </w:p>
    <w:p w:rsidR="00CB37E7" w:rsidRPr="008D613D" w:rsidRDefault="00CB37E7" w:rsidP="008D613D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8D613D">
        <w:rPr>
          <w:bCs/>
          <w:sz w:val="24"/>
          <w:szCs w:val="24"/>
          <w:lang w:val="ro-RO"/>
        </w:rPr>
        <w:t>DUMNEZEU TATĂL: Ne alege ca să fim poporul Lui.</w:t>
      </w:r>
    </w:p>
    <w:p w:rsidR="00CB37E7" w:rsidRPr="008D613D" w:rsidRDefault="00CB37E7" w:rsidP="008D613D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DUHUL SFÂNT</w:t>
      </w:r>
      <w:r w:rsidRPr="008D613D">
        <w:rPr>
          <w:bCs/>
          <w:sz w:val="24"/>
          <w:szCs w:val="24"/>
          <w:lang w:val="ro-RO"/>
        </w:rPr>
        <w:t xml:space="preserve">: Ne </w:t>
      </w:r>
      <w:r w:rsidRPr="00117394">
        <w:rPr>
          <w:bCs/>
          <w:sz w:val="24"/>
          <w:szCs w:val="24"/>
          <w:lang w:val="ro-RO"/>
        </w:rPr>
        <w:t>sfinţeşte</w:t>
      </w:r>
      <w:r w:rsidRPr="008D613D">
        <w:rPr>
          <w:bCs/>
          <w:sz w:val="24"/>
          <w:szCs w:val="24"/>
          <w:lang w:val="ro-RO"/>
        </w:rPr>
        <w:t xml:space="preserve"> pentru ascultare.</w:t>
      </w:r>
    </w:p>
    <w:p w:rsidR="00CB37E7" w:rsidRPr="008D613D" w:rsidRDefault="00CB37E7" w:rsidP="008D613D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8D613D">
        <w:rPr>
          <w:bCs/>
          <w:sz w:val="24"/>
          <w:szCs w:val="24"/>
          <w:lang w:val="ro-RO"/>
        </w:rPr>
        <w:t>ISUS HRISTOS: Ne stropeşte cu sângele Său pentru mântuire.</w:t>
      </w:r>
    </w:p>
    <w:p w:rsidR="00CB37E7" w:rsidRPr="008D613D" w:rsidRDefault="00CB37E7" w:rsidP="008D61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  <w:lang w:val="ro-RO"/>
        </w:rPr>
      </w:pPr>
      <w:r w:rsidRPr="008D613D">
        <w:rPr>
          <w:b/>
          <w:bCs/>
          <w:sz w:val="24"/>
          <w:szCs w:val="24"/>
          <w:lang w:val="ro-RO"/>
        </w:rPr>
        <w:t>1 Petru 1:3-12. Tema în dezbatere.</w:t>
      </w:r>
    </w:p>
    <w:p w:rsidR="00CB37E7" w:rsidRPr="008D613D" w:rsidRDefault="00CB37E7" w:rsidP="008D613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8D613D">
        <w:rPr>
          <w:bCs/>
          <w:sz w:val="24"/>
          <w:szCs w:val="24"/>
          <w:lang w:val="ro-RO"/>
        </w:rPr>
        <w:t>Naşterea din nou care, prin învierea lui Hristos, ne asigură o „moştenire nestricăcioasă” care ne va fi dată la a doua venire (v. 3-5).</w:t>
      </w:r>
    </w:p>
    <w:p w:rsidR="00CB37E7" w:rsidRPr="008D613D" w:rsidRDefault="00CB37E7" w:rsidP="008D613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8D613D">
        <w:rPr>
          <w:bCs/>
          <w:sz w:val="24"/>
          <w:szCs w:val="24"/>
          <w:lang w:val="ro-RO"/>
        </w:rPr>
        <w:t>Bucuria creştinului în suferinţă. Această suferinţă – rodul conflictului dintre bine şi rău – pune la încercare credinţa noastră, purificându-ne asemenea aurului (v. 6-9).</w:t>
      </w:r>
    </w:p>
    <w:p w:rsidR="00CB37E7" w:rsidRPr="008D613D" w:rsidRDefault="00CB37E7" w:rsidP="008D613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  <w:sz w:val="24"/>
          <w:szCs w:val="24"/>
          <w:lang w:val="ro-RO"/>
        </w:rPr>
      </w:pPr>
      <w:r w:rsidRPr="008D613D">
        <w:rPr>
          <w:bCs/>
          <w:sz w:val="24"/>
          <w:szCs w:val="24"/>
          <w:lang w:val="ro-RO"/>
        </w:rPr>
        <w:t>Privilegiul de a trăi Evanghelia care a fost vestită de profeţi şi a cărei lucrare „chiar îngerii doresc să privească”</w:t>
      </w:r>
      <w:r>
        <w:rPr>
          <w:bCs/>
          <w:sz w:val="24"/>
          <w:szCs w:val="24"/>
          <w:lang w:val="ro-RO"/>
        </w:rPr>
        <w:t xml:space="preserve"> </w:t>
      </w:r>
      <w:r w:rsidRPr="008D613D">
        <w:rPr>
          <w:bCs/>
          <w:sz w:val="24"/>
          <w:szCs w:val="24"/>
          <w:lang w:val="ro-RO"/>
        </w:rPr>
        <w:t>(v. 10-12).</w:t>
      </w:r>
    </w:p>
    <w:p w:rsidR="00CB37E7" w:rsidRPr="008D613D" w:rsidRDefault="00CB37E7" w:rsidP="008D61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8D613D">
        <w:rPr>
          <w:b/>
          <w:bCs/>
          <w:sz w:val="24"/>
          <w:szCs w:val="24"/>
          <w:lang w:val="ro-RO"/>
        </w:rPr>
        <w:t>1 Petru 1:13-21. Cum trăiesc cei mântuiţi.</w:t>
      </w:r>
    </w:p>
    <w:p w:rsidR="00CB37E7" w:rsidRPr="008D613D" w:rsidRDefault="00CB37E7" w:rsidP="008D613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8D613D">
        <w:rPr>
          <w:bCs/>
          <w:sz w:val="24"/>
          <w:szCs w:val="24"/>
          <w:lang w:val="ro-RO"/>
        </w:rPr>
        <w:t>Petru ne invită să ne pregătim minţile pentru a trăi o viaţă în conformitate cu harul divin şi cu speranţa mântuirii noastre (v. 13-14). În continuare, ne prezintă trei mari motivatori ai comportamentului creştin.</w:t>
      </w:r>
    </w:p>
    <w:p w:rsidR="00CB37E7" w:rsidRPr="008D613D" w:rsidRDefault="00CB37E7" w:rsidP="008D613D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8D613D">
        <w:rPr>
          <w:bCs/>
          <w:i/>
          <w:iCs/>
          <w:sz w:val="24"/>
          <w:szCs w:val="24"/>
          <w:lang w:val="ro-RO"/>
        </w:rPr>
        <w:t>Caracterul lui Dumnezeu</w:t>
      </w:r>
      <w:r w:rsidRPr="008D613D">
        <w:rPr>
          <w:bCs/>
          <w:sz w:val="24"/>
          <w:szCs w:val="24"/>
          <w:lang w:val="ro-RO"/>
        </w:rPr>
        <w:t>. Dumnezeu, modelul nostru este sfânt (v. 15-16).</w:t>
      </w:r>
    </w:p>
    <w:p w:rsidR="00CB37E7" w:rsidRPr="008D613D" w:rsidRDefault="00CB37E7" w:rsidP="008D613D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8D613D">
        <w:rPr>
          <w:bCs/>
          <w:i/>
          <w:iCs/>
          <w:sz w:val="24"/>
          <w:szCs w:val="24"/>
          <w:lang w:val="ro-RO"/>
        </w:rPr>
        <w:t>Judecata viitoare</w:t>
      </w:r>
      <w:r w:rsidRPr="008D613D">
        <w:rPr>
          <w:bCs/>
          <w:sz w:val="24"/>
          <w:szCs w:val="24"/>
          <w:lang w:val="ro-RO"/>
        </w:rPr>
        <w:t>. Dumnezeu va judeca pe toţi, imparţial, după lucrarea fiecăruia (v. 17).</w:t>
      </w:r>
    </w:p>
    <w:p w:rsidR="00CB37E7" w:rsidRPr="008D613D" w:rsidRDefault="00CB37E7" w:rsidP="008D613D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8D613D">
        <w:rPr>
          <w:bCs/>
          <w:i/>
          <w:iCs/>
          <w:sz w:val="24"/>
          <w:szCs w:val="24"/>
          <w:lang w:val="ro-RO"/>
        </w:rPr>
        <w:t>Preţul răscumpărării</w:t>
      </w:r>
      <w:r w:rsidRPr="008D613D">
        <w:rPr>
          <w:bCs/>
          <w:sz w:val="24"/>
          <w:szCs w:val="24"/>
          <w:lang w:val="ro-RO"/>
        </w:rPr>
        <w:t>. S-a plătit un preţ foarte mare: sângele scump al lui Isus Hristos (v. 16-21).</w:t>
      </w:r>
    </w:p>
    <w:p w:rsidR="00CB37E7" w:rsidRPr="008D613D" w:rsidRDefault="00CB37E7" w:rsidP="008D61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  <w:lang w:val="ro-RO"/>
        </w:rPr>
      </w:pPr>
      <w:r w:rsidRPr="008D613D">
        <w:rPr>
          <w:b/>
          <w:bCs/>
          <w:sz w:val="24"/>
          <w:szCs w:val="24"/>
          <w:lang w:val="ro-RO"/>
        </w:rPr>
        <w:t>1 Petru 1:22-25. Dragostea frăţească.</w:t>
      </w:r>
    </w:p>
    <w:p w:rsidR="00CB37E7" w:rsidRPr="008D613D" w:rsidRDefault="00CB37E7" w:rsidP="008D613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8D613D">
        <w:rPr>
          <w:bCs/>
          <w:sz w:val="24"/>
          <w:szCs w:val="24"/>
          <w:lang w:val="ro-RO"/>
        </w:rPr>
        <w:t>Consecinţa unei vieţi sfinte este dragostea dintre credincioşi. Această dragoste se manifestă la două nivele:</w:t>
      </w:r>
    </w:p>
    <w:p w:rsidR="00CB37E7" w:rsidRPr="008D613D" w:rsidRDefault="00CB37E7" w:rsidP="008D613D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8D613D">
        <w:rPr>
          <w:sz w:val="24"/>
          <w:szCs w:val="24"/>
          <w:lang w:val="ro-RO"/>
        </w:rPr>
        <w:t>Dragoste frăţească (</w:t>
      </w:r>
      <w:r w:rsidRPr="008D613D">
        <w:rPr>
          <w:i/>
          <w:sz w:val="24"/>
          <w:szCs w:val="24"/>
          <w:lang w:val="ro-RO"/>
        </w:rPr>
        <w:t>filia</w:t>
      </w:r>
      <w:r w:rsidRPr="008D613D">
        <w:rPr>
          <w:sz w:val="24"/>
          <w:szCs w:val="24"/>
          <w:lang w:val="ro-RO"/>
        </w:rPr>
        <w:t>): Ca fii ai lui Dumnezeu, formăm o familie de fraţi şi surori.</w:t>
      </w:r>
    </w:p>
    <w:p w:rsidR="00CB37E7" w:rsidRPr="008D613D" w:rsidRDefault="00CB37E7" w:rsidP="008D613D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8D613D">
        <w:rPr>
          <w:sz w:val="24"/>
          <w:szCs w:val="24"/>
          <w:lang w:val="ro-RO"/>
        </w:rPr>
        <w:t>Dragostea curată (</w:t>
      </w:r>
      <w:r w:rsidRPr="006351E6">
        <w:rPr>
          <w:i/>
          <w:sz w:val="24"/>
          <w:szCs w:val="24"/>
          <w:lang w:val="ro-RO"/>
        </w:rPr>
        <w:t>agape</w:t>
      </w:r>
      <w:r w:rsidRPr="008D613D">
        <w:rPr>
          <w:sz w:val="24"/>
          <w:szCs w:val="24"/>
          <w:lang w:val="ro-RO"/>
        </w:rPr>
        <w:t>). În relaţiile noastre manifestăm o dragoste pură şi dezinteresată.</w:t>
      </w:r>
    </w:p>
    <w:p w:rsidR="00CB37E7" w:rsidRPr="008D613D" w:rsidRDefault="00CB37E7" w:rsidP="008D613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8D613D">
        <w:rPr>
          <w:sz w:val="24"/>
          <w:szCs w:val="24"/>
          <w:lang w:val="ro-RO"/>
        </w:rPr>
        <w:t>Această dragoste nu izvorăşte din noi. Dumnezeu o produce în noi „prin Cuvântul lui Dumnezeu, care este viu şi care rămâne în veac.” (1 Petru 1:23).</w:t>
      </w:r>
    </w:p>
    <w:sectPr w:rsidR="00CB37E7" w:rsidRPr="008D613D" w:rsidSect="0063038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7E7" w:rsidRDefault="00CB37E7">
      <w:r>
        <w:separator/>
      </w:r>
    </w:p>
  </w:endnote>
  <w:endnote w:type="continuationSeparator" w:id="0">
    <w:p w:rsidR="00CB37E7" w:rsidRDefault="00CB3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7E7" w:rsidRPr="006351E6" w:rsidRDefault="00CB37E7" w:rsidP="006351E6">
    <w:pPr>
      <w:pStyle w:val="Footer"/>
      <w:spacing w:after="0" w:line="240" w:lineRule="auto"/>
      <w:rPr>
        <w:i/>
        <w:lang w:val="ro-RO"/>
      </w:rPr>
    </w:pPr>
    <w:r w:rsidRPr="006351E6">
      <w:rPr>
        <w:i/>
        <w:lang w:val="ro-RO"/>
      </w:rPr>
      <w:t>Studiu Biblic, Trim. II, 2017 – Învăţături din epistolele lui Petru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7E7" w:rsidRDefault="00CB37E7">
      <w:r>
        <w:separator/>
      </w:r>
    </w:p>
  </w:footnote>
  <w:footnote w:type="continuationSeparator" w:id="0">
    <w:p w:rsidR="00CB37E7" w:rsidRDefault="00CB37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7E7" w:rsidRPr="006351E6" w:rsidRDefault="00CB37E7" w:rsidP="006351E6">
    <w:pPr>
      <w:pStyle w:val="Header"/>
      <w:spacing w:after="0" w:line="240" w:lineRule="auto"/>
      <w:rPr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512E6"/>
    <w:multiLevelType w:val="hybridMultilevel"/>
    <w:tmpl w:val="45CAE900"/>
    <w:lvl w:ilvl="0" w:tplc="35902F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BCFDB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A4E5B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C8485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2922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D6480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2279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26075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E8CB1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4866A7"/>
    <w:multiLevelType w:val="hybridMultilevel"/>
    <w:tmpl w:val="E9085DEE"/>
    <w:lvl w:ilvl="0" w:tplc="10028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4ACC7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26234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CAC4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3E3A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CCABB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230F6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47086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E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90274D7"/>
    <w:multiLevelType w:val="multilevel"/>
    <w:tmpl w:val="87DC9BA8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4D586F6B"/>
    <w:multiLevelType w:val="hybridMultilevel"/>
    <w:tmpl w:val="736EB66A"/>
    <w:lvl w:ilvl="0" w:tplc="8842D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CCC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1C7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EC3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E29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8E6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E6D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AA0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BAD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389"/>
    <w:rsid w:val="00117394"/>
    <w:rsid w:val="001338A7"/>
    <w:rsid w:val="00457B06"/>
    <w:rsid w:val="00630389"/>
    <w:rsid w:val="006351E6"/>
    <w:rsid w:val="008C6E0D"/>
    <w:rsid w:val="008D613D"/>
    <w:rsid w:val="00A7475E"/>
    <w:rsid w:val="00AE4242"/>
    <w:rsid w:val="00B95277"/>
    <w:rsid w:val="00BC672B"/>
    <w:rsid w:val="00CB37E7"/>
    <w:rsid w:val="00CE3CDD"/>
    <w:rsid w:val="00E71C40"/>
    <w:rsid w:val="00F36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locked="1" w:semiHidden="0" w:uiPriority="0"/>
    <w:lsdException w:name="List" w:unhideWhenUsed="1"/>
    <w:lsdException w:name="List Bullet" w:unhideWhenUsed="1"/>
    <w:lsdException w:name="List Number" w:locked="1" w:semiHidden="0" w:uiPriority="0"/>
    <w:lsdException w:name="List 2" w:locked="1" w:semiHidden="0" w:uiPriority="0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locked="1" w:semiHidden="0" w:uiPriority="0"/>
    <w:lsdException w:name="List Continue 5" w:locked="1" w:semiHidden="0" w:uiPriority="0"/>
    <w:lsdException w:name="Message Header" w:locked="1" w:semiHidden="0" w:uiPriority="0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locked="1" w:semiHidden="0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57B06"/>
    <w:pPr>
      <w:spacing w:after="160" w:line="259" w:lineRule="auto"/>
    </w:pPr>
    <w:rPr>
      <w:rFonts w:cs="Times New Roman"/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303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351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1FC2"/>
    <w:rPr>
      <w:rFonts w:cs="Times New Roman"/>
      <w:lang w:val="es-ES" w:eastAsia="en-US"/>
    </w:rPr>
  </w:style>
  <w:style w:type="paragraph" w:styleId="Footer">
    <w:name w:val="footer"/>
    <w:basedOn w:val="Normal"/>
    <w:link w:val="FooterChar"/>
    <w:uiPriority w:val="99"/>
    <w:rsid w:val="006351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1FC2"/>
    <w:rPr>
      <w:rFonts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453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453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454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455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456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4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4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4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4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4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4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1</Pages>
  <Words>436</Words>
  <Characters>2531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Rezumatul Studiului 2 - Mostenirea celor credinciosi</dc:title>
  <dc:subject>Studiu Biblic, Trim. II, 2017 – Invataturi din epistolele lui Petru</dc:subject>
  <dc:creator>Sergio Fustero Carreras</dc:creator>
  <cp:keywords>index_ro.php</cp:keywords>
  <dc:description/>
  <cp:lastModifiedBy>Administrator</cp:lastModifiedBy>
  <cp:revision>3</cp:revision>
  <dcterms:created xsi:type="dcterms:W3CDTF">2017-04-03T18:06:00Z</dcterms:created>
  <dcterms:modified xsi:type="dcterms:W3CDTF">2017-04-04T06:12:00Z</dcterms:modified>
</cp:coreProperties>
</file>